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B3" w:rsidRPr="00870D9A" w:rsidRDefault="00E77CB3" w:rsidP="00870D9A">
      <w:pPr>
        <w:jc w:val="center"/>
        <w:rPr>
          <w:lang w:val="fr-FR"/>
        </w:rPr>
      </w:pPr>
      <w:bookmarkStart w:id="0" w:name="_GoBack"/>
      <w:bookmarkEnd w:id="0"/>
    </w:p>
    <w:p w:rsidR="00782416" w:rsidRPr="00870D9A" w:rsidRDefault="00782416" w:rsidP="00870D9A">
      <w:pPr>
        <w:jc w:val="center"/>
        <w:rPr>
          <w:lang w:val="fr-FR"/>
        </w:rPr>
      </w:pPr>
    </w:p>
    <w:p w:rsidR="00782416" w:rsidRPr="00870D9A" w:rsidRDefault="00782416" w:rsidP="00870D9A">
      <w:pPr>
        <w:jc w:val="center"/>
        <w:rPr>
          <w:lang w:val="fr-FR"/>
        </w:rPr>
      </w:pPr>
    </w:p>
    <w:p w:rsidR="00E77CB3" w:rsidRPr="00870D9A" w:rsidRDefault="005F347E" w:rsidP="00870D9A">
      <w:pPr>
        <w:jc w:val="center"/>
        <w:rPr>
          <w:lang w:val="fr-FR"/>
        </w:rPr>
      </w:pPr>
      <w:r w:rsidRPr="00870D9A">
        <w:rPr>
          <w:lang w:val="fr-FR"/>
        </w:rPr>
        <w:t>PREMIÈRE SECTION</w:t>
      </w:r>
    </w:p>
    <w:p w:rsidR="00E77CB3" w:rsidRPr="00870D9A" w:rsidRDefault="00E77CB3" w:rsidP="00870D9A">
      <w:pPr>
        <w:jc w:val="center"/>
        <w:rPr>
          <w:lang w:val="fr-FR"/>
        </w:rPr>
      </w:pPr>
    </w:p>
    <w:p w:rsidR="00782416" w:rsidRPr="00870D9A" w:rsidRDefault="00782416" w:rsidP="00870D9A">
      <w:pPr>
        <w:jc w:val="center"/>
        <w:rPr>
          <w:lang w:val="fr-FR"/>
        </w:rPr>
      </w:pPr>
    </w:p>
    <w:p w:rsidR="00782416" w:rsidRPr="00870D9A" w:rsidRDefault="00782416" w:rsidP="00870D9A">
      <w:pPr>
        <w:jc w:val="center"/>
        <w:rPr>
          <w:lang w:val="fr-FR"/>
        </w:rPr>
      </w:pPr>
    </w:p>
    <w:p w:rsidR="00782416" w:rsidRPr="00870D9A" w:rsidRDefault="00782416" w:rsidP="00870D9A">
      <w:pPr>
        <w:jc w:val="center"/>
        <w:rPr>
          <w:lang w:val="fr-FR"/>
        </w:rPr>
      </w:pPr>
    </w:p>
    <w:p w:rsidR="00782416" w:rsidRPr="00870D9A" w:rsidRDefault="00782416" w:rsidP="00870D9A">
      <w:pPr>
        <w:jc w:val="center"/>
        <w:rPr>
          <w:lang w:val="fr-FR"/>
        </w:rPr>
      </w:pPr>
    </w:p>
    <w:p w:rsidR="00782416" w:rsidRPr="00870D9A" w:rsidRDefault="00782416" w:rsidP="00870D9A">
      <w:pPr>
        <w:jc w:val="center"/>
        <w:rPr>
          <w:lang w:val="fr-FR"/>
        </w:rPr>
      </w:pPr>
    </w:p>
    <w:p w:rsidR="00E77CB3" w:rsidRPr="00870D9A" w:rsidRDefault="00E77CB3" w:rsidP="00870D9A">
      <w:pPr>
        <w:jc w:val="center"/>
        <w:rPr>
          <w:b/>
          <w:lang w:val="fr-FR"/>
        </w:rPr>
      </w:pPr>
      <w:bookmarkStart w:id="1" w:name="To"/>
      <w:r w:rsidRPr="00870D9A">
        <w:rPr>
          <w:b/>
          <w:lang w:val="fr-FR"/>
        </w:rPr>
        <w:t xml:space="preserve">AFFAIRE </w:t>
      </w:r>
      <w:bookmarkEnd w:id="1"/>
      <w:r w:rsidR="005F347E" w:rsidRPr="00870D9A">
        <w:rPr>
          <w:b/>
          <w:lang w:val="fr-FR"/>
        </w:rPr>
        <w:t>BOZZA c. ITALIE</w:t>
      </w:r>
    </w:p>
    <w:p w:rsidR="00E77CB3" w:rsidRPr="00870D9A" w:rsidRDefault="00E77CB3" w:rsidP="00870D9A">
      <w:pPr>
        <w:jc w:val="center"/>
        <w:rPr>
          <w:lang w:val="fr-FR"/>
        </w:rPr>
      </w:pPr>
    </w:p>
    <w:p w:rsidR="00782416" w:rsidRPr="00870D9A" w:rsidRDefault="00E77CB3" w:rsidP="00870D9A">
      <w:pPr>
        <w:jc w:val="center"/>
        <w:rPr>
          <w:lang w:val="fr-FR"/>
        </w:rPr>
      </w:pPr>
      <w:r w:rsidRPr="00870D9A">
        <w:rPr>
          <w:i/>
          <w:lang w:val="fr-FR"/>
        </w:rPr>
        <w:t>(</w:t>
      </w:r>
      <w:r w:rsidR="005F347E" w:rsidRPr="00870D9A">
        <w:rPr>
          <w:i/>
          <w:lang w:val="fr-FR"/>
        </w:rPr>
        <w:t>Requête n</w:t>
      </w:r>
      <w:r w:rsidR="005F347E" w:rsidRPr="00870D9A">
        <w:rPr>
          <w:i/>
          <w:vertAlign w:val="superscript"/>
          <w:lang w:val="fr-FR"/>
        </w:rPr>
        <w:t>o</w:t>
      </w:r>
      <w:r w:rsidR="005F347E" w:rsidRPr="00870D9A">
        <w:rPr>
          <w:i/>
          <w:lang w:val="fr-FR"/>
        </w:rPr>
        <w:t xml:space="preserve"> 17739/09</w:t>
      </w:r>
      <w:r w:rsidRPr="00870D9A">
        <w:rPr>
          <w:i/>
          <w:lang w:val="fr-FR"/>
        </w:rPr>
        <w:t>)</w:t>
      </w:r>
    </w:p>
    <w:p w:rsidR="00782416" w:rsidRPr="00870D9A" w:rsidRDefault="00782416" w:rsidP="00870D9A">
      <w:pPr>
        <w:jc w:val="center"/>
        <w:rPr>
          <w:lang w:val="fr-FR"/>
        </w:rPr>
      </w:pPr>
    </w:p>
    <w:p w:rsidR="00782416" w:rsidRPr="00870D9A" w:rsidRDefault="00782416" w:rsidP="00870D9A">
      <w:pPr>
        <w:jc w:val="center"/>
        <w:rPr>
          <w:lang w:val="fr-FR"/>
        </w:rPr>
      </w:pPr>
    </w:p>
    <w:p w:rsidR="00782416" w:rsidRPr="00870D9A" w:rsidRDefault="00782416" w:rsidP="00870D9A">
      <w:pPr>
        <w:jc w:val="center"/>
        <w:rPr>
          <w:lang w:val="fr-FR"/>
        </w:rPr>
      </w:pPr>
    </w:p>
    <w:p w:rsidR="00782416" w:rsidRPr="00870D9A" w:rsidRDefault="00782416" w:rsidP="00870D9A">
      <w:pPr>
        <w:jc w:val="center"/>
        <w:rPr>
          <w:lang w:val="fr-FR"/>
        </w:rPr>
      </w:pPr>
    </w:p>
    <w:p w:rsidR="00782416" w:rsidRPr="00870D9A" w:rsidRDefault="00782416" w:rsidP="00870D9A">
      <w:pPr>
        <w:jc w:val="center"/>
        <w:rPr>
          <w:lang w:val="fr-FR"/>
        </w:rPr>
      </w:pPr>
    </w:p>
    <w:p w:rsidR="00782416" w:rsidRPr="00870D9A" w:rsidRDefault="00782416" w:rsidP="00870D9A">
      <w:pPr>
        <w:jc w:val="center"/>
        <w:rPr>
          <w:lang w:val="fr-FR"/>
        </w:rPr>
      </w:pPr>
    </w:p>
    <w:p w:rsidR="00782416" w:rsidRPr="00870D9A" w:rsidRDefault="00782416" w:rsidP="00870D9A">
      <w:pPr>
        <w:jc w:val="center"/>
        <w:rPr>
          <w:lang w:val="fr-FR"/>
        </w:rPr>
      </w:pPr>
    </w:p>
    <w:p w:rsidR="00782416" w:rsidRPr="00870D9A" w:rsidRDefault="00782416" w:rsidP="00870D9A">
      <w:pPr>
        <w:jc w:val="center"/>
        <w:rPr>
          <w:lang w:val="fr-FR"/>
        </w:rPr>
      </w:pPr>
    </w:p>
    <w:p w:rsidR="00782416" w:rsidRPr="00870D9A" w:rsidRDefault="00782416" w:rsidP="00870D9A">
      <w:pPr>
        <w:jc w:val="center"/>
        <w:rPr>
          <w:lang w:val="fr-FR"/>
        </w:rPr>
      </w:pPr>
    </w:p>
    <w:p w:rsidR="00782416" w:rsidRPr="00870D9A" w:rsidRDefault="00782416" w:rsidP="00870D9A">
      <w:pPr>
        <w:jc w:val="center"/>
        <w:rPr>
          <w:lang w:val="fr-FR"/>
        </w:rPr>
      </w:pPr>
      <w:r w:rsidRPr="00870D9A">
        <w:rPr>
          <w:lang w:val="fr-FR"/>
        </w:rPr>
        <w:t>ARRÊT</w:t>
      </w:r>
    </w:p>
    <w:p w:rsidR="00AE4277" w:rsidRPr="00870D9A" w:rsidRDefault="00AE4277" w:rsidP="00870D9A">
      <w:pPr>
        <w:jc w:val="center"/>
        <w:rPr>
          <w:lang w:val="fr-FR"/>
        </w:rPr>
      </w:pPr>
    </w:p>
    <w:p w:rsidR="00782416" w:rsidRPr="00870D9A" w:rsidRDefault="00782416" w:rsidP="00870D9A">
      <w:pPr>
        <w:jc w:val="center"/>
        <w:rPr>
          <w:lang w:val="fr-FR"/>
        </w:rPr>
      </w:pPr>
    </w:p>
    <w:p w:rsidR="00782416" w:rsidRPr="00870D9A" w:rsidRDefault="00782416" w:rsidP="00870D9A">
      <w:pPr>
        <w:jc w:val="center"/>
        <w:rPr>
          <w:lang w:val="fr-FR"/>
        </w:rPr>
      </w:pPr>
    </w:p>
    <w:p w:rsidR="00782416" w:rsidRPr="00870D9A" w:rsidRDefault="00782416" w:rsidP="00870D9A">
      <w:pPr>
        <w:jc w:val="center"/>
        <w:rPr>
          <w:lang w:val="fr-FR"/>
        </w:rPr>
      </w:pPr>
    </w:p>
    <w:p w:rsidR="00782416" w:rsidRPr="00870D9A" w:rsidRDefault="00782416" w:rsidP="00870D9A">
      <w:pPr>
        <w:jc w:val="center"/>
        <w:rPr>
          <w:lang w:val="fr-FR"/>
        </w:rPr>
      </w:pPr>
      <w:r w:rsidRPr="00870D9A">
        <w:rPr>
          <w:lang w:val="fr-FR"/>
        </w:rPr>
        <w:t>STRASBOURG</w:t>
      </w:r>
    </w:p>
    <w:p w:rsidR="00782416" w:rsidRPr="00870D9A" w:rsidRDefault="00782416" w:rsidP="00870D9A">
      <w:pPr>
        <w:jc w:val="center"/>
        <w:rPr>
          <w:lang w:val="fr-FR"/>
        </w:rPr>
      </w:pPr>
    </w:p>
    <w:p w:rsidR="00782416" w:rsidRPr="00870D9A" w:rsidRDefault="003363E3" w:rsidP="00870D9A">
      <w:pPr>
        <w:jc w:val="center"/>
        <w:rPr>
          <w:lang w:val="fr-FR"/>
        </w:rPr>
      </w:pPr>
      <w:r w:rsidRPr="00870D9A">
        <w:rPr>
          <w:lang w:val="fr-FR"/>
        </w:rPr>
        <w:t>14 septembre 2017</w:t>
      </w:r>
    </w:p>
    <w:p w:rsidR="00782416" w:rsidRPr="00870D9A" w:rsidRDefault="00782416" w:rsidP="00870D9A">
      <w:pPr>
        <w:jc w:val="center"/>
        <w:rPr>
          <w:lang w:val="fr-FR"/>
        </w:rPr>
      </w:pPr>
    </w:p>
    <w:p w:rsidR="00782416" w:rsidRPr="00870D9A" w:rsidRDefault="00782416" w:rsidP="00870D9A">
      <w:pPr>
        <w:jc w:val="center"/>
        <w:rPr>
          <w:i/>
          <w:sz w:val="22"/>
          <w:lang w:val="fr-FR"/>
        </w:rPr>
      </w:pPr>
    </w:p>
    <w:p w:rsidR="00782416" w:rsidRPr="00870D9A" w:rsidRDefault="00782416" w:rsidP="00870D9A">
      <w:pPr>
        <w:jc w:val="center"/>
        <w:rPr>
          <w:i/>
          <w:sz w:val="22"/>
          <w:lang w:val="fr-FR"/>
        </w:rPr>
      </w:pPr>
    </w:p>
    <w:p w:rsidR="00782416" w:rsidRPr="00870D9A" w:rsidRDefault="00782416" w:rsidP="00870D9A">
      <w:pPr>
        <w:jc w:val="center"/>
        <w:rPr>
          <w:i/>
          <w:sz w:val="22"/>
          <w:lang w:val="fr-FR"/>
        </w:rPr>
      </w:pPr>
    </w:p>
    <w:p w:rsidR="00F96526" w:rsidRPr="00870D9A" w:rsidRDefault="00F96526" w:rsidP="00870D9A">
      <w:pPr>
        <w:jc w:val="center"/>
        <w:rPr>
          <w:i/>
          <w:sz w:val="22"/>
          <w:lang w:val="fr-FR"/>
        </w:rPr>
      </w:pPr>
    </w:p>
    <w:p w:rsidR="003960C1" w:rsidRPr="00870D9A" w:rsidRDefault="00782416" w:rsidP="00870D9A">
      <w:pPr>
        <w:rPr>
          <w:lang w:val="fr-FR"/>
        </w:rPr>
      </w:pPr>
      <w:r w:rsidRPr="00870D9A">
        <w:rPr>
          <w:i/>
          <w:sz w:val="22"/>
          <w:lang w:val="fr-FR"/>
        </w:rPr>
        <w:t>Cet arrêt deviendra définitif dans les conditions définies à l</w:t>
      </w:r>
      <w:r w:rsidR="00870D9A" w:rsidRPr="00870D9A">
        <w:rPr>
          <w:i/>
          <w:sz w:val="22"/>
          <w:lang w:val="fr-FR"/>
        </w:rPr>
        <w:t>’</w:t>
      </w:r>
      <w:r w:rsidRPr="00870D9A">
        <w:rPr>
          <w:i/>
          <w:sz w:val="22"/>
          <w:lang w:val="fr-FR"/>
        </w:rPr>
        <w:t>article 44 § 2 de la Convention. Il peut subir des retouches de forme.</w:t>
      </w:r>
    </w:p>
    <w:p w:rsidR="00782416" w:rsidRPr="00870D9A" w:rsidRDefault="00782416" w:rsidP="00870D9A">
      <w:pPr>
        <w:pStyle w:val="JuCase"/>
        <w:rPr>
          <w:lang w:val="fr-FR"/>
        </w:rPr>
        <w:sectPr w:rsidR="00782416" w:rsidRPr="00870D9A" w:rsidSect="00782416">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E77CB3" w:rsidRPr="00870D9A" w:rsidRDefault="00E77CB3" w:rsidP="00870D9A">
      <w:pPr>
        <w:pStyle w:val="JuCase"/>
        <w:rPr>
          <w:lang w:val="fr-FR"/>
        </w:rPr>
      </w:pPr>
      <w:r w:rsidRPr="00870D9A">
        <w:rPr>
          <w:lang w:val="fr-FR"/>
        </w:rPr>
        <w:lastRenderedPageBreak/>
        <w:t>En l</w:t>
      </w:r>
      <w:r w:rsidR="00870D9A" w:rsidRPr="00870D9A">
        <w:rPr>
          <w:lang w:val="fr-FR"/>
        </w:rPr>
        <w:t>’</w:t>
      </w:r>
      <w:r w:rsidRPr="00870D9A">
        <w:rPr>
          <w:lang w:val="fr-FR"/>
        </w:rPr>
        <w:t xml:space="preserve">affaire </w:t>
      </w:r>
      <w:proofErr w:type="spellStart"/>
      <w:r w:rsidR="005F347E" w:rsidRPr="00870D9A">
        <w:rPr>
          <w:lang w:val="fr-FR"/>
        </w:rPr>
        <w:t>Bozza</w:t>
      </w:r>
      <w:proofErr w:type="spellEnd"/>
      <w:r w:rsidR="005F347E" w:rsidRPr="00870D9A">
        <w:rPr>
          <w:lang w:val="fr-FR"/>
        </w:rPr>
        <w:t xml:space="preserve"> c. Italie</w:t>
      </w:r>
      <w:r w:rsidRPr="00870D9A">
        <w:rPr>
          <w:lang w:val="fr-FR"/>
        </w:rPr>
        <w:t>,</w:t>
      </w:r>
    </w:p>
    <w:p w:rsidR="00E77CB3" w:rsidRPr="00870D9A" w:rsidRDefault="00E77CB3" w:rsidP="00870D9A">
      <w:pPr>
        <w:pStyle w:val="ECHRPara"/>
        <w:rPr>
          <w:lang w:val="fr-FR"/>
        </w:rPr>
      </w:pPr>
      <w:r w:rsidRPr="00870D9A">
        <w:rPr>
          <w:lang w:val="fr-FR"/>
        </w:rPr>
        <w:t>La Cour européenne des droits de l</w:t>
      </w:r>
      <w:r w:rsidR="00870D9A" w:rsidRPr="00870D9A">
        <w:rPr>
          <w:lang w:val="fr-FR"/>
        </w:rPr>
        <w:t>’</w:t>
      </w:r>
      <w:r w:rsidRPr="00870D9A">
        <w:rPr>
          <w:lang w:val="fr-FR"/>
        </w:rPr>
        <w:t>homme (</w:t>
      </w:r>
      <w:r w:rsidR="005F347E" w:rsidRPr="00870D9A">
        <w:rPr>
          <w:lang w:val="fr-FR"/>
        </w:rPr>
        <w:t>première section</w:t>
      </w:r>
      <w:r w:rsidRPr="00870D9A">
        <w:rPr>
          <w:lang w:val="fr-FR"/>
        </w:rPr>
        <w:t xml:space="preserve">), siégeant en </w:t>
      </w:r>
      <w:r w:rsidR="005F347E" w:rsidRPr="00870D9A">
        <w:rPr>
          <w:lang w:val="fr-FR"/>
        </w:rPr>
        <w:t>une Chambre composée</w:t>
      </w:r>
      <w:r w:rsidRPr="00870D9A">
        <w:rPr>
          <w:lang w:val="fr-FR"/>
        </w:rPr>
        <w:t xml:space="preserve"> de :</w:t>
      </w:r>
    </w:p>
    <w:p w:rsidR="00E77CB3" w:rsidRPr="00870D9A" w:rsidRDefault="00782416" w:rsidP="00870D9A">
      <w:pPr>
        <w:pStyle w:val="ECHRDecisionBody"/>
        <w:rPr>
          <w:lang w:val="fr-FR"/>
        </w:rPr>
      </w:pPr>
      <w:r w:rsidRPr="00870D9A">
        <w:rPr>
          <w:lang w:val="fr-FR"/>
        </w:rPr>
        <w:tab/>
        <w:t xml:space="preserve">Linos-Alexandre </w:t>
      </w:r>
      <w:proofErr w:type="spellStart"/>
      <w:r w:rsidRPr="00870D9A">
        <w:rPr>
          <w:lang w:val="fr-FR"/>
        </w:rPr>
        <w:t>Sicilianos</w:t>
      </w:r>
      <w:proofErr w:type="spellEnd"/>
      <w:r w:rsidRPr="00870D9A">
        <w:rPr>
          <w:lang w:val="fr-FR"/>
        </w:rPr>
        <w:t>,</w:t>
      </w:r>
      <w:r w:rsidRPr="00870D9A">
        <w:rPr>
          <w:i/>
          <w:lang w:val="fr-FR"/>
        </w:rPr>
        <w:t xml:space="preserve"> président,</w:t>
      </w:r>
      <w:r w:rsidRPr="00870D9A">
        <w:rPr>
          <w:i/>
          <w:lang w:val="fr-FR"/>
        </w:rPr>
        <w:br/>
      </w:r>
      <w:r w:rsidRPr="00870D9A">
        <w:rPr>
          <w:lang w:val="fr-FR"/>
        </w:rPr>
        <w:tab/>
        <w:t xml:space="preserve">Kristina </w:t>
      </w:r>
      <w:proofErr w:type="spellStart"/>
      <w:r w:rsidRPr="00870D9A">
        <w:rPr>
          <w:lang w:val="fr-FR"/>
        </w:rPr>
        <w:t>Pardalos</w:t>
      </w:r>
      <w:proofErr w:type="spellEnd"/>
      <w:r w:rsidRPr="00870D9A">
        <w:rPr>
          <w:lang w:val="fr-FR"/>
        </w:rPr>
        <w:t>,</w:t>
      </w:r>
      <w:r w:rsidRPr="00870D9A">
        <w:rPr>
          <w:i/>
          <w:lang w:val="fr-FR"/>
        </w:rPr>
        <w:br/>
      </w:r>
      <w:r w:rsidRPr="00870D9A">
        <w:rPr>
          <w:lang w:val="fr-FR"/>
        </w:rPr>
        <w:tab/>
        <w:t>Guido Raimondi,</w:t>
      </w:r>
      <w:r w:rsidRPr="00870D9A">
        <w:rPr>
          <w:i/>
          <w:lang w:val="fr-FR"/>
        </w:rPr>
        <w:br/>
      </w:r>
      <w:r w:rsidRPr="00870D9A">
        <w:rPr>
          <w:lang w:val="fr-FR"/>
        </w:rPr>
        <w:tab/>
      </w:r>
      <w:proofErr w:type="spellStart"/>
      <w:r w:rsidRPr="00870D9A">
        <w:rPr>
          <w:lang w:val="fr-FR"/>
        </w:rPr>
        <w:t>Aleš</w:t>
      </w:r>
      <w:proofErr w:type="spellEnd"/>
      <w:r w:rsidRPr="00870D9A">
        <w:rPr>
          <w:lang w:val="fr-FR"/>
        </w:rPr>
        <w:t xml:space="preserve"> </w:t>
      </w:r>
      <w:proofErr w:type="spellStart"/>
      <w:r w:rsidRPr="00870D9A">
        <w:rPr>
          <w:lang w:val="fr-FR"/>
        </w:rPr>
        <w:t>Pejchal</w:t>
      </w:r>
      <w:proofErr w:type="spellEnd"/>
      <w:r w:rsidRPr="00870D9A">
        <w:rPr>
          <w:lang w:val="fr-FR"/>
        </w:rPr>
        <w:t>,</w:t>
      </w:r>
      <w:r w:rsidRPr="00870D9A">
        <w:rPr>
          <w:i/>
          <w:lang w:val="fr-FR"/>
        </w:rPr>
        <w:br/>
      </w:r>
      <w:r w:rsidRPr="00870D9A">
        <w:rPr>
          <w:lang w:val="fr-FR"/>
        </w:rPr>
        <w:tab/>
        <w:t xml:space="preserve">Krzysztof </w:t>
      </w:r>
      <w:proofErr w:type="spellStart"/>
      <w:r w:rsidRPr="00870D9A">
        <w:rPr>
          <w:lang w:val="fr-FR"/>
        </w:rPr>
        <w:t>Wojtyczek</w:t>
      </w:r>
      <w:proofErr w:type="spellEnd"/>
      <w:r w:rsidRPr="00870D9A">
        <w:rPr>
          <w:lang w:val="fr-FR"/>
        </w:rPr>
        <w:t>,</w:t>
      </w:r>
      <w:r w:rsidRPr="00870D9A">
        <w:rPr>
          <w:i/>
          <w:lang w:val="fr-FR"/>
        </w:rPr>
        <w:br/>
      </w:r>
      <w:r w:rsidRPr="00870D9A">
        <w:rPr>
          <w:lang w:val="fr-FR"/>
        </w:rPr>
        <w:tab/>
        <w:t xml:space="preserve">Tim </w:t>
      </w:r>
      <w:proofErr w:type="spellStart"/>
      <w:r w:rsidRPr="00870D9A">
        <w:rPr>
          <w:lang w:val="fr-FR"/>
        </w:rPr>
        <w:t>Eicke</w:t>
      </w:r>
      <w:proofErr w:type="spellEnd"/>
      <w:r w:rsidRPr="00870D9A">
        <w:rPr>
          <w:lang w:val="fr-FR"/>
        </w:rPr>
        <w:t>,</w:t>
      </w:r>
      <w:r w:rsidRPr="00870D9A">
        <w:rPr>
          <w:i/>
          <w:lang w:val="fr-FR"/>
        </w:rPr>
        <w:br/>
      </w:r>
      <w:r w:rsidRPr="00870D9A">
        <w:rPr>
          <w:lang w:val="fr-FR"/>
        </w:rPr>
        <w:tab/>
        <w:t xml:space="preserve">Jovan </w:t>
      </w:r>
      <w:proofErr w:type="spellStart"/>
      <w:r w:rsidRPr="00870D9A">
        <w:rPr>
          <w:lang w:val="fr-FR"/>
        </w:rPr>
        <w:t>Ilievski</w:t>
      </w:r>
      <w:proofErr w:type="spellEnd"/>
      <w:r w:rsidRPr="00870D9A">
        <w:rPr>
          <w:lang w:val="fr-FR"/>
        </w:rPr>
        <w:t>,</w:t>
      </w:r>
      <w:r w:rsidRPr="00870D9A">
        <w:rPr>
          <w:i/>
          <w:lang w:val="fr-FR"/>
        </w:rPr>
        <w:t xml:space="preserve"> juges</w:t>
      </w:r>
      <w:proofErr w:type="gramStart"/>
      <w:r w:rsidRPr="00870D9A">
        <w:rPr>
          <w:i/>
          <w:lang w:val="fr-FR"/>
        </w:rPr>
        <w:t>,</w:t>
      </w:r>
      <w:proofErr w:type="gramEnd"/>
      <w:r w:rsidRPr="00870D9A">
        <w:rPr>
          <w:i/>
          <w:lang w:val="fr-FR"/>
        </w:rPr>
        <w:br/>
      </w:r>
      <w:r w:rsidR="00E77CB3" w:rsidRPr="00870D9A">
        <w:rPr>
          <w:lang w:val="fr-FR"/>
        </w:rPr>
        <w:t xml:space="preserve">et de </w:t>
      </w:r>
      <w:r w:rsidR="004361D1" w:rsidRPr="00870D9A">
        <w:rPr>
          <w:lang w:val="fr-FR"/>
        </w:rPr>
        <w:t xml:space="preserve">Renata </w:t>
      </w:r>
      <w:proofErr w:type="spellStart"/>
      <w:r w:rsidR="004361D1" w:rsidRPr="00870D9A">
        <w:rPr>
          <w:lang w:val="fr-FR"/>
        </w:rPr>
        <w:t>Degener</w:t>
      </w:r>
      <w:proofErr w:type="spellEnd"/>
      <w:r w:rsidR="00E77CB3" w:rsidRPr="00870D9A">
        <w:rPr>
          <w:lang w:val="fr-FR"/>
        </w:rPr>
        <w:t xml:space="preserve">, </w:t>
      </w:r>
      <w:r w:rsidR="005F347E" w:rsidRPr="00870D9A">
        <w:rPr>
          <w:i/>
          <w:lang w:val="fr-FR"/>
        </w:rPr>
        <w:t>greffi</w:t>
      </w:r>
      <w:r w:rsidR="004361D1" w:rsidRPr="00870D9A">
        <w:rPr>
          <w:i/>
          <w:lang w:val="fr-FR"/>
        </w:rPr>
        <w:t>ère adjointe</w:t>
      </w:r>
      <w:r w:rsidR="005F347E" w:rsidRPr="00870D9A">
        <w:rPr>
          <w:iCs/>
          <w:lang w:val="fr-FR"/>
        </w:rPr>
        <w:t xml:space="preserve"> </w:t>
      </w:r>
      <w:r w:rsidR="005F347E" w:rsidRPr="00870D9A">
        <w:rPr>
          <w:i/>
          <w:iCs/>
          <w:lang w:val="fr-FR"/>
        </w:rPr>
        <w:t>d</w:t>
      </w:r>
      <w:r w:rsidR="005F347E" w:rsidRPr="00870D9A">
        <w:rPr>
          <w:i/>
          <w:lang w:val="fr-FR"/>
        </w:rPr>
        <w:t>e section</w:t>
      </w:r>
      <w:r w:rsidR="00E77CB3" w:rsidRPr="00870D9A">
        <w:rPr>
          <w:lang w:val="fr-FR"/>
        </w:rPr>
        <w:t>,</w:t>
      </w:r>
    </w:p>
    <w:p w:rsidR="00E77CB3" w:rsidRPr="00870D9A" w:rsidRDefault="00E77CB3" w:rsidP="00870D9A">
      <w:pPr>
        <w:pStyle w:val="ECHRPara"/>
        <w:rPr>
          <w:lang w:val="fr-FR"/>
        </w:rPr>
      </w:pPr>
      <w:r w:rsidRPr="00870D9A">
        <w:rPr>
          <w:lang w:val="fr-FR"/>
        </w:rPr>
        <w:t xml:space="preserve">Après en avoir délibéré en chambre du conseil le </w:t>
      </w:r>
      <w:r w:rsidR="00782416" w:rsidRPr="00870D9A">
        <w:rPr>
          <w:lang w:val="fr-FR"/>
        </w:rPr>
        <w:t>11 juillet 2017</w:t>
      </w:r>
      <w:r w:rsidRPr="00870D9A">
        <w:rPr>
          <w:lang w:val="fr-FR"/>
        </w:rPr>
        <w:t>,</w:t>
      </w:r>
    </w:p>
    <w:p w:rsidR="00E77CB3" w:rsidRPr="00870D9A" w:rsidRDefault="00E77CB3" w:rsidP="00870D9A">
      <w:pPr>
        <w:pStyle w:val="ECHRPara"/>
        <w:rPr>
          <w:lang w:val="fr-FR"/>
        </w:rPr>
      </w:pPr>
      <w:r w:rsidRPr="00870D9A">
        <w:rPr>
          <w:lang w:val="fr-FR"/>
        </w:rPr>
        <w:t>Rend l</w:t>
      </w:r>
      <w:r w:rsidR="00870D9A" w:rsidRPr="00870D9A">
        <w:rPr>
          <w:lang w:val="fr-FR"/>
        </w:rPr>
        <w:t>’</w:t>
      </w:r>
      <w:r w:rsidRPr="00870D9A">
        <w:rPr>
          <w:lang w:val="fr-FR"/>
        </w:rPr>
        <w:t>arrêt que voici, adopté à cette date :</w:t>
      </w:r>
    </w:p>
    <w:p w:rsidR="00E77CB3" w:rsidRPr="00870D9A" w:rsidRDefault="00E77CB3" w:rsidP="00870D9A">
      <w:pPr>
        <w:pStyle w:val="ECHRTitle1"/>
        <w:rPr>
          <w:lang w:val="fr-FR"/>
        </w:rPr>
      </w:pPr>
      <w:r w:rsidRPr="00870D9A">
        <w:rPr>
          <w:lang w:val="fr-FR"/>
        </w:rPr>
        <w:t>PROCÉDURE</w:t>
      </w:r>
    </w:p>
    <w:p w:rsidR="00E77CB3" w:rsidRPr="00870D9A" w:rsidRDefault="005F347E"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1</w:t>
      </w:r>
      <w:r w:rsidRPr="00870D9A">
        <w:rPr>
          <w:lang w:val="fr-FR"/>
        </w:rPr>
        <w:fldChar w:fldCharType="end"/>
      </w:r>
      <w:r w:rsidR="00E77CB3" w:rsidRPr="00870D9A">
        <w:rPr>
          <w:lang w:val="fr-FR"/>
        </w:rPr>
        <w:t>.  À l</w:t>
      </w:r>
      <w:r w:rsidR="00870D9A" w:rsidRPr="00870D9A">
        <w:rPr>
          <w:lang w:val="fr-FR"/>
        </w:rPr>
        <w:t>’</w:t>
      </w:r>
      <w:r w:rsidR="00E77CB3" w:rsidRPr="00870D9A">
        <w:rPr>
          <w:lang w:val="fr-FR"/>
        </w:rPr>
        <w:t>origine de l</w:t>
      </w:r>
      <w:r w:rsidR="00870D9A" w:rsidRPr="00870D9A">
        <w:rPr>
          <w:lang w:val="fr-FR"/>
        </w:rPr>
        <w:t>’</w:t>
      </w:r>
      <w:r w:rsidR="00E77CB3" w:rsidRPr="00870D9A">
        <w:rPr>
          <w:lang w:val="fr-FR"/>
        </w:rPr>
        <w:t xml:space="preserve">affaire </w:t>
      </w:r>
      <w:r w:rsidRPr="00870D9A">
        <w:rPr>
          <w:lang w:val="fr-FR"/>
        </w:rPr>
        <w:t>se trouve une requête (n</w:t>
      </w:r>
      <w:r w:rsidR="003E04EE" w:rsidRPr="00870D9A">
        <w:rPr>
          <w:vertAlign w:val="superscript"/>
          <w:lang w:val="fr-FR"/>
        </w:rPr>
        <w:t>o</w:t>
      </w:r>
      <w:r w:rsidRPr="00870D9A">
        <w:rPr>
          <w:lang w:val="fr-FR"/>
        </w:rPr>
        <w:t xml:space="preserve"> 17739/09) dirigée</w:t>
      </w:r>
      <w:r w:rsidR="00E77CB3" w:rsidRPr="00870D9A">
        <w:rPr>
          <w:lang w:val="fr-FR"/>
        </w:rPr>
        <w:t xml:space="preserve"> contre </w:t>
      </w:r>
      <w:r w:rsidRPr="00870D9A">
        <w:rPr>
          <w:lang w:val="fr-FR"/>
        </w:rPr>
        <w:t>la République italienne</w:t>
      </w:r>
      <w:r w:rsidR="00E77CB3" w:rsidRPr="00870D9A">
        <w:rPr>
          <w:lang w:val="fr-FR"/>
        </w:rPr>
        <w:t xml:space="preserve"> et dont </w:t>
      </w:r>
      <w:r w:rsidRPr="00870D9A">
        <w:rPr>
          <w:lang w:val="fr-FR"/>
        </w:rPr>
        <w:t>une ressortissante de cet État, M</w:t>
      </w:r>
      <w:r w:rsidRPr="00870D9A">
        <w:rPr>
          <w:vertAlign w:val="superscript"/>
          <w:lang w:val="fr-FR"/>
        </w:rPr>
        <w:t>me</w:t>
      </w:r>
      <w:r w:rsidR="00480728" w:rsidRPr="00870D9A">
        <w:rPr>
          <w:lang w:val="fr-FR"/>
        </w:rPr>
        <w:t> </w:t>
      </w:r>
      <w:proofErr w:type="spellStart"/>
      <w:r w:rsidRPr="00870D9A">
        <w:rPr>
          <w:lang w:val="fr-FR"/>
        </w:rPr>
        <w:t>Ermelinda</w:t>
      </w:r>
      <w:proofErr w:type="spellEnd"/>
      <w:r w:rsidRPr="00870D9A">
        <w:rPr>
          <w:lang w:val="fr-FR"/>
        </w:rPr>
        <w:t xml:space="preserve"> </w:t>
      </w:r>
      <w:proofErr w:type="spellStart"/>
      <w:r w:rsidRPr="00870D9A">
        <w:rPr>
          <w:lang w:val="fr-FR"/>
        </w:rPr>
        <w:t>Bozza</w:t>
      </w:r>
      <w:proofErr w:type="spellEnd"/>
      <w:r w:rsidRPr="00870D9A">
        <w:rPr>
          <w:lang w:val="fr-FR"/>
        </w:rPr>
        <w:t xml:space="preserve"> (« la requérante »), a saisi la Cour le 23 mars 2009</w:t>
      </w:r>
      <w:r w:rsidR="00E77CB3" w:rsidRPr="00870D9A">
        <w:rPr>
          <w:lang w:val="fr-FR"/>
        </w:rPr>
        <w:t xml:space="preserve"> en vertu de </w:t>
      </w:r>
      <w:r w:rsidRPr="00870D9A">
        <w:rPr>
          <w:lang w:val="fr-FR"/>
        </w:rPr>
        <w:t>l</w:t>
      </w:r>
      <w:r w:rsidR="00870D9A" w:rsidRPr="00870D9A">
        <w:rPr>
          <w:lang w:val="fr-FR"/>
        </w:rPr>
        <w:t>’</w:t>
      </w:r>
      <w:r w:rsidRPr="00870D9A">
        <w:rPr>
          <w:lang w:val="fr-FR"/>
        </w:rPr>
        <w:t>article 34</w:t>
      </w:r>
      <w:r w:rsidR="00E77CB3" w:rsidRPr="00870D9A">
        <w:rPr>
          <w:lang w:val="fr-FR"/>
        </w:rPr>
        <w:t xml:space="preserve"> de la Convention de sauvegarde des droits de l</w:t>
      </w:r>
      <w:r w:rsidR="00870D9A" w:rsidRPr="00870D9A">
        <w:rPr>
          <w:lang w:val="fr-FR"/>
        </w:rPr>
        <w:t>’</w:t>
      </w:r>
      <w:r w:rsidR="00E77CB3" w:rsidRPr="00870D9A">
        <w:rPr>
          <w:lang w:val="fr-FR"/>
        </w:rPr>
        <w:t>homme et des libertés fondamentales (« la Convention »).</w:t>
      </w:r>
    </w:p>
    <w:p w:rsidR="005F347E" w:rsidRPr="00870D9A" w:rsidRDefault="005F347E"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2</w:t>
      </w:r>
      <w:r w:rsidRPr="00870D9A">
        <w:rPr>
          <w:lang w:val="fr-FR"/>
        </w:rPr>
        <w:fldChar w:fldCharType="end"/>
      </w:r>
      <w:r w:rsidR="00E77CB3" w:rsidRPr="00870D9A">
        <w:rPr>
          <w:lang w:val="fr-FR"/>
        </w:rPr>
        <w:t>.  </w:t>
      </w:r>
      <w:r w:rsidRPr="00870D9A">
        <w:rPr>
          <w:lang w:val="fr-FR"/>
        </w:rPr>
        <w:t>La requérante a été représentée par M</w:t>
      </w:r>
      <w:r w:rsidRPr="00870D9A">
        <w:rPr>
          <w:vertAlign w:val="superscript"/>
          <w:lang w:val="fr-FR"/>
        </w:rPr>
        <w:t>e</w:t>
      </w:r>
      <w:r w:rsidRPr="00870D9A">
        <w:rPr>
          <w:lang w:val="fr-FR"/>
        </w:rPr>
        <w:t> M.T. Marra, avocat</w:t>
      </w:r>
      <w:r w:rsidR="00044F36" w:rsidRPr="00870D9A">
        <w:rPr>
          <w:lang w:val="fr-FR"/>
        </w:rPr>
        <w:t>e</w:t>
      </w:r>
      <w:r w:rsidRPr="00870D9A">
        <w:rPr>
          <w:lang w:val="fr-FR"/>
        </w:rPr>
        <w:t xml:space="preserve"> à Naples. </w:t>
      </w:r>
      <w:r w:rsidR="00E77CB3" w:rsidRPr="00870D9A">
        <w:rPr>
          <w:lang w:val="fr-FR"/>
        </w:rPr>
        <w:t xml:space="preserve">Le gouvernement </w:t>
      </w:r>
      <w:r w:rsidRPr="00870D9A">
        <w:rPr>
          <w:lang w:val="fr-FR"/>
        </w:rPr>
        <w:t>italien</w:t>
      </w:r>
      <w:r w:rsidR="00E77CB3" w:rsidRPr="00870D9A">
        <w:rPr>
          <w:lang w:val="fr-FR"/>
        </w:rPr>
        <w:t xml:space="preserve"> (« le Gouvernement ») </w:t>
      </w:r>
      <w:r w:rsidR="003E04EE" w:rsidRPr="00870D9A">
        <w:rPr>
          <w:lang w:val="fr-FR"/>
        </w:rPr>
        <w:t>a été représenté par son agent, M</w:t>
      </w:r>
      <w:r w:rsidR="003E04EE" w:rsidRPr="00870D9A">
        <w:rPr>
          <w:vertAlign w:val="superscript"/>
          <w:lang w:val="fr-FR"/>
        </w:rPr>
        <w:t>me</w:t>
      </w:r>
      <w:r w:rsidR="003E04EE" w:rsidRPr="00870D9A">
        <w:rPr>
          <w:lang w:val="fr-FR"/>
        </w:rPr>
        <w:t xml:space="preserve"> E. Spatafora, et s</w:t>
      </w:r>
      <w:r w:rsidR="0021070B" w:rsidRPr="00870D9A">
        <w:rPr>
          <w:lang w:val="fr-FR"/>
        </w:rPr>
        <w:t>on</w:t>
      </w:r>
      <w:r w:rsidR="003E04EE" w:rsidRPr="00870D9A">
        <w:rPr>
          <w:lang w:val="fr-FR"/>
        </w:rPr>
        <w:t xml:space="preserve"> </w:t>
      </w:r>
      <w:proofErr w:type="spellStart"/>
      <w:r w:rsidR="003E04EE" w:rsidRPr="00870D9A">
        <w:rPr>
          <w:lang w:val="fr-FR"/>
        </w:rPr>
        <w:t>co</w:t>
      </w:r>
      <w:proofErr w:type="spellEnd"/>
      <w:r w:rsidR="0021070B" w:rsidRPr="00870D9A">
        <w:rPr>
          <w:lang w:val="fr-FR"/>
        </w:rPr>
        <w:t>-</w:t>
      </w:r>
      <w:r w:rsidR="003E04EE" w:rsidRPr="00870D9A">
        <w:rPr>
          <w:lang w:val="fr-FR"/>
        </w:rPr>
        <w:t>agent, M</w:t>
      </w:r>
      <w:r w:rsidR="003E04EE" w:rsidRPr="00870D9A">
        <w:rPr>
          <w:vertAlign w:val="superscript"/>
          <w:lang w:val="fr-FR"/>
        </w:rPr>
        <w:t xml:space="preserve">me </w:t>
      </w:r>
      <w:r w:rsidR="003E04EE" w:rsidRPr="00870D9A">
        <w:rPr>
          <w:lang w:val="fr-FR"/>
        </w:rPr>
        <w:t xml:space="preserve">M. </w:t>
      </w:r>
      <w:r w:rsidR="00526F39" w:rsidRPr="00870D9A">
        <w:rPr>
          <w:lang w:val="fr-FR"/>
        </w:rPr>
        <w:t xml:space="preserve">L. </w:t>
      </w:r>
      <w:r w:rsidR="003E04EE" w:rsidRPr="00870D9A">
        <w:rPr>
          <w:lang w:val="fr-FR"/>
        </w:rPr>
        <w:t>Aversano</w:t>
      </w:r>
      <w:r w:rsidR="007C5300" w:rsidRPr="00870D9A">
        <w:rPr>
          <w:lang w:val="fr-FR"/>
        </w:rPr>
        <w:t>.</w:t>
      </w:r>
    </w:p>
    <w:p w:rsidR="00E77CB3" w:rsidRPr="00870D9A" w:rsidRDefault="005F347E"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3</w:t>
      </w:r>
      <w:r w:rsidRPr="00870D9A">
        <w:rPr>
          <w:lang w:val="fr-FR"/>
        </w:rPr>
        <w:fldChar w:fldCharType="end"/>
      </w:r>
      <w:r w:rsidRPr="00870D9A">
        <w:rPr>
          <w:lang w:val="fr-FR"/>
        </w:rPr>
        <w:t xml:space="preserve">.  La requérante allègue en particulier </w:t>
      </w:r>
      <w:r w:rsidR="003E04EE" w:rsidRPr="00870D9A">
        <w:rPr>
          <w:lang w:val="fr-FR"/>
        </w:rPr>
        <w:t>la violation de son droit à un procès dans un délai raisonnable sur le terrain de l</w:t>
      </w:r>
      <w:r w:rsidR="00870D9A" w:rsidRPr="00870D9A">
        <w:rPr>
          <w:lang w:val="fr-FR"/>
        </w:rPr>
        <w:t>’</w:t>
      </w:r>
      <w:r w:rsidR="003E04EE" w:rsidRPr="00870D9A">
        <w:rPr>
          <w:lang w:val="fr-FR"/>
        </w:rPr>
        <w:t>article 6 §</w:t>
      </w:r>
      <w:r w:rsidR="00760054" w:rsidRPr="00870D9A">
        <w:rPr>
          <w:lang w:val="fr-FR"/>
        </w:rPr>
        <w:t xml:space="preserve"> </w:t>
      </w:r>
      <w:r w:rsidR="003E04EE" w:rsidRPr="00870D9A">
        <w:rPr>
          <w:lang w:val="fr-FR"/>
        </w:rPr>
        <w:t>1 de la Convention</w:t>
      </w:r>
      <w:r w:rsidRPr="00870D9A">
        <w:rPr>
          <w:lang w:val="fr-FR"/>
        </w:rPr>
        <w:t>.</w:t>
      </w:r>
    </w:p>
    <w:p w:rsidR="00E77CB3" w:rsidRPr="00870D9A" w:rsidRDefault="005F347E" w:rsidP="00870D9A">
      <w:pPr>
        <w:pStyle w:val="ECHRPara"/>
        <w:rPr>
          <w:szCs w:val="24"/>
          <w:lang w:val="fr-FR" w:eastAsia="en-GB"/>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4</w:t>
      </w:r>
      <w:r w:rsidRPr="00870D9A">
        <w:rPr>
          <w:lang w:val="fr-FR"/>
        </w:rPr>
        <w:fldChar w:fldCharType="end"/>
      </w:r>
      <w:r w:rsidR="00E77CB3" w:rsidRPr="00870D9A">
        <w:rPr>
          <w:lang w:val="fr-FR"/>
        </w:rPr>
        <w:t>.  </w:t>
      </w:r>
      <w:r w:rsidRPr="00870D9A">
        <w:rPr>
          <w:lang w:val="fr-FR"/>
        </w:rPr>
        <w:t xml:space="preserve">Le </w:t>
      </w:r>
      <w:r w:rsidRPr="00870D9A">
        <w:rPr>
          <w:szCs w:val="24"/>
          <w:lang w:val="fr-FR"/>
        </w:rPr>
        <w:t>5 juin 2015</w:t>
      </w:r>
      <w:r w:rsidR="00E77CB3" w:rsidRPr="00870D9A">
        <w:rPr>
          <w:lang w:val="fr-FR"/>
        </w:rPr>
        <w:t xml:space="preserve">, </w:t>
      </w:r>
      <w:r w:rsidRPr="00870D9A">
        <w:rPr>
          <w:lang w:val="fr-FR"/>
        </w:rPr>
        <w:t>la requête a été communiquée au Gouvernement</w:t>
      </w:r>
      <w:r w:rsidR="00646454" w:rsidRPr="00870D9A">
        <w:rPr>
          <w:lang w:val="fr-FR"/>
        </w:rPr>
        <w:t>.</w:t>
      </w:r>
    </w:p>
    <w:p w:rsidR="00E77CB3" w:rsidRPr="00870D9A" w:rsidRDefault="00E77CB3" w:rsidP="00870D9A">
      <w:pPr>
        <w:pStyle w:val="ECHRTitle1"/>
        <w:tabs>
          <w:tab w:val="left" w:pos="5387"/>
        </w:tabs>
        <w:rPr>
          <w:lang w:val="fr-FR"/>
        </w:rPr>
      </w:pPr>
      <w:r w:rsidRPr="00870D9A">
        <w:rPr>
          <w:lang w:val="fr-FR"/>
        </w:rPr>
        <w:t>EN FAIT</w:t>
      </w:r>
    </w:p>
    <w:p w:rsidR="00E77CB3" w:rsidRPr="00870D9A" w:rsidRDefault="00E77CB3" w:rsidP="00870D9A">
      <w:pPr>
        <w:pStyle w:val="ECHRHeading1"/>
        <w:rPr>
          <w:lang w:val="fr-FR"/>
        </w:rPr>
      </w:pPr>
      <w:r w:rsidRPr="00870D9A">
        <w:rPr>
          <w:lang w:val="fr-FR"/>
        </w:rPr>
        <w:t>I.</w:t>
      </w:r>
      <w:proofErr w:type="gramStart"/>
      <w:r w:rsidRPr="00870D9A">
        <w:rPr>
          <w:lang w:val="fr-FR"/>
        </w:rPr>
        <w:t>  LES</w:t>
      </w:r>
      <w:proofErr w:type="gramEnd"/>
      <w:r w:rsidRPr="00870D9A">
        <w:rPr>
          <w:lang w:val="fr-FR"/>
        </w:rPr>
        <w:t xml:space="preserve"> CIRCONSTANCES DE L</w:t>
      </w:r>
      <w:r w:rsidR="00870D9A" w:rsidRPr="00870D9A">
        <w:rPr>
          <w:lang w:val="fr-FR"/>
        </w:rPr>
        <w:t>’</w:t>
      </w:r>
      <w:r w:rsidRPr="00870D9A">
        <w:rPr>
          <w:lang w:val="fr-FR"/>
        </w:rPr>
        <w:t>ESPÈCE</w:t>
      </w:r>
    </w:p>
    <w:p w:rsidR="00E77CB3" w:rsidRPr="00870D9A" w:rsidRDefault="005F347E"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5</w:t>
      </w:r>
      <w:r w:rsidRPr="00870D9A">
        <w:rPr>
          <w:lang w:val="fr-FR"/>
        </w:rPr>
        <w:fldChar w:fldCharType="end"/>
      </w:r>
      <w:r w:rsidR="00E77CB3" w:rsidRPr="00870D9A">
        <w:rPr>
          <w:lang w:val="fr-FR"/>
        </w:rPr>
        <w:t>.  </w:t>
      </w:r>
      <w:r w:rsidRPr="00870D9A">
        <w:rPr>
          <w:lang w:val="fr-FR"/>
        </w:rPr>
        <w:t xml:space="preserve">La requérante est née en 1949 et réside à Torre </w:t>
      </w:r>
      <w:proofErr w:type="spellStart"/>
      <w:r w:rsidRPr="00870D9A">
        <w:rPr>
          <w:lang w:val="fr-FR"/>
        </w:rPr>
        <w:t>del</w:t>
      </w:r>
      <w:proofErr w:type="spellEnd"/>
      <w:r w:rsidRPr="00870D9A">
        <w:rPr>
          <w:lang w:val="fr-FR"/>
        </w:rPr>
        <w:t xml:space="preserve"> Greco</w:t>
      </w:r>
      <w:r w:rsidR="00E77CB3" w:rsidRPr="00870D9A">
        <w:rPr>
          <w:lang w:val="fr-FR"/>
        </w:rPr>
        <w:t>.</w:t>
      </w:r>
    </w:p>
    <w:p w:rsidR="003E04EE" w:rsidRPr="00870D9A" w:rsidRDefault="005F347E"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6</w:t>
      </w:r>
      <w:r w:rsidRPr="00870D9A">
        <w:rPr>
          <w:lang w:val="fr-FR"/>
        </w:rPr>
        <w:fldChar w:fldCharType="end"/>
      </w:r>
      <w:r w:rsidR="00E77CB3" w:rsidRPr="00870D9A">
        <w:rPr>
          <w:lang w:val="fr-FR"/>
        </w:rPr>
        <w:t>.  </w:t>
      </w:r>
      <w:r w:rsidR="003E04EE" w:rsidRPr="00870D9A">
        <w:rPr>
          <w:lang w:val="fr-FR"/>
        </w:rPr>
        <w:t>Les faits de la cause, tels qu</w:t>
      </w:r>
      <w:r w:rsidR="00870D9A" w:rsidRPr="00870D9A">
        <w:rPr>
          <w:lang w:val="fr-FR"/>
        </w:rPr>
        <w:t>’</w:t>
      </w:r>
      <w:r w:rsidR="003E04EE" w:rsidRPr="00870D9A">
        <w:rPr>
          <w:lang w:val="fr-FR"/>
        </w:rPr>
        <w:t>ils ont été exposés par les parties, peuvent se résumer comme suit.</w:t>
      </w:r>
    </w:p>
    <w:p w:rsidR="003E04EE" w:rsidRPr="00870D9A" w:rsidRDefault="00AE4277" w:rsidP="00870D9A">
      <w:pPr>
        <w:pStyle w:val="ECHRHeading2"/>
        <w:rPr>
          <w:lang w:val="fr-FR"/>
        </w:rPr>
      </w:pPr>
      <w:r w:rsidRPr="00870D9A">
        <w:rPr>
          <w:lang w:val="fr-FR"/>
        </w:rPr>
        <w:lastRenderedPageBreak/>
        <w:t>A</w:t>
      </w:r>
      <w:r w:rsidR="003E04EE" w:rsidRPr="00870D9A">
        <w:rPr>
          <w:lang w:val="fr-FR"/>
        </w:rPr>
        <w:t>.</w:t>
      </w:r>
      <w:proofErr w:type="gramStart"/>
      <w:r w:rsidR="003E04EE" w:rsidRPr="00870D9A">
        <w:rPr>
          <w:lang w:val="fr-FR"/>
        </w:rPr>
        <w:t>  La</w:t>
      </w:r>
      <w:proofErr w:type="gramEnd"/>
      <w:r w:rsidR="003E04EE" w:rsidRPr="00870D9A">
        <w:rPr>
          <w:lang w:val="fr-FR"/>
        </w:rPr>
        <w:t xml:space="preserve"> procédure principale</w:t>
      </w:r>
    </w:p>
    <w:p w:rsidR="003E04EE" w:rsidRPr="00870D9A" w:rsidRDefault="003E04EE"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7</w:t>
      </w:r>
      <w:r w:rsidRPr="00870D9A">
        <w:rPr>
          <w:lang w:val="fr-FR"/>
        </w:rPr>
        <w:fldChar w:fldCharType="end"/>
      </w:r>
      <w:r w:rsidRPr="00870D9A">
        <w:rPr>
          <w:lang w:val="fr-FR"/>
        </w:rPr>
        <w:t>.  En janvier 1990, quelques années après avoir demandé au ministère de l</w:t>
      </w:r>
      <w:r w:rsidR="00870D9A" w:rsidRPr="00870D9A">
        <w:rPr>
          <w:lang w:val="fr-FR"/>
        </w:rPr>
        <w:t>’</w:t>
      </w:r>
      <w:r w:rsidRPr="00870D9A">
        <w:rPr>
          <w:lang w:val="fr-FR"/>
        </w:rPr>
        <w:t>Intérieur à pouvoir bénéficier d</w:t>
      </w:r>
      <w:r w:rsidR="00870D9A" w:rsidRPr="00870D9A">
        <w:rPr>
          <w:lang w:val="fr-FR"/>
        </w:rPr>
        <w:t>’</w:t>
      </w:r>
      <w:r w:rsidRPr="00870D9A">
        <w:rPr>
          <w:lang w:val="fr-FR"/>
        </w:rPr>
        <w:t>une pension d</w:t>
      </w:r>
      <w:r w:rsidR="00870D9A" w:rsidRPr="00870D9A">
        <w:rPr>
          <w:lang w:val="fr-FR"/>
        </w:rPr>
        <w:t>’</w:t>
      </w:r>
      <w:r w:rsidRPr="00870D9A">
        <w:rPr>
          <w:lang w:val="fr-FR"/>
        </w:rPr>
        <w:t>invalidité, M</w:t>
      </w:r>
      <w:r w:rsidRPr="00870D9A">
        <w:rPr>
          <w:vertAlign w:val="superscript"/>
          <w:lang w:val="fr-FR"/>
        </w:rPr>
        <w:t>me</w:t>
      </w:r>
      <w:r w:rsidRPr="00870D9A">
        <w:rPr>
          <w:lang w:val="fr-FR"/>
        </w:rPr>
        <w:t xml:space="preserve"> T.G., la mère de la requérante, se vit accorder le droit au versement mensuel de la pension assortie d</w:t>
      </w:r>
      <w:r w:rsidR="00870D9A" w:rsidRPr="00870D9A">
        <w:rPr>
          <w:lang w:val="fr-FR"/>
        </w:rPr>
        <w:t>’</w:t>
      </w:r>
      <w:r w:rsidRPr="00870D9A">
        <w:rPr>
          <w:lang w:val="fr-FR"/>
        </w:rPr>
        <w:t>une indemnité spéciale allouée en raison de la cécité partielle dont elle était atteinte.</w:t>
      </w:r>
    </w:p>
    <w:bookmarkStart w:id="2" w:name="PROCEDURE_PRINCIPALE"/>
    <w:p w:rsidR="003E04EE" w:rsidRPr="00870D9A" w:rsidRDefault="003E04EE"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8</w:t>
      </w:r>
      <w:r w:rsidRPr="00870D9A">
        <w:rPr>
          <w:lang w:val="fr-FR"/>
        </w:rPr>
        <w:fldChar w:fldCharType="end"/>
      </w:r>
      <w:bookmarkEnd w:id="2"/>
      <w:r w:rsidRPr="00870D9A">
        <w:rPr>
          <w:lang w:val="fr-FR"/>
        </w:rPr>
        <w:t>.  Le 21 octobre 1994, M</w:t>
      </w:r>
      <w:r w:rsidRPr="00870D9A">
        <w:rPr>
          <w:vertAlign w:val="superscript"/>
          <w:lang w:val="fr-FR"/>
        </w:rPr>
        <w:t>me</w:t>
      </w:r>
      <w:r w:rsidRPr="00870D9A">
        <w:rPr>
          <w:lang w:val="fr-FR"/>
        </w:rPr>
        <w:t xml:space="preserve"> T.G. déposa un recours devant le juge d</w:t>
      </w:r>
      <w:r w:rsidR="00870D9A" w:rsidRPr="00870D9A">
        <w:rPr>
          <w:lang w:val="fr-FR"/>
        </w:rPr>
        <w:t>’</w:t>
      </w:r>
      <w:r w:rsidRPr="00870D9A">
        <w:rPr>
          <w:lang w:val="fr-FR"/>
        </w:rPr>
        <w:t>instance (</w:t>
      </w:r>
      <w:proofErr w:type="spellStart"/>
      <w:r w:rsidRPr="00870D9A">
        <w:rPr>
          <w:i/>
          <w:lang w:val="fr-FR"/>
        </w:rPr>
        <w:t>pretore</w:t>
      </w:r>
      <w:proofErr w:type="spellEnd"/>
      <w:r w:rsidRPr="00870D9A">
        <w:rPr>
          <w:lang w:val="fr-FR"/>
        </w:rPr>
        <w:t xml:space="preserve">) de Torre </w:t>
      </w:r>
      <w:proofErr w:type="spellStart"/>
      <w:r w:rsidRPr="00870D9A">
        <w:rPr>
          <w:lang w:val="fr-FR"/>
        </w:rPr>
        <w:t>Annunziata</w:t>
      </w:r>
      <w:proofErr w:type="spellEnd"/>
      <w:r w:rsidRPr="00870D9A">
        <w:rPr>
          <w:lang w:val="fr-FR"/>
        </w:rPr>
        <w:t xml:space="preserve"> faisant fonction de juge du travail, en vue d</w:t>
      </w:r>
      <w:r w:rsidR="00870D9A" w:rsidRPr="00870D9A">
        <w:rPr>
          <w:lang w:val="fr-FR"/>
        </w:rPr>
        <w:t>’</w:t>
      </w:r>
      <w:r w:rsidRPr="00870D9A">
        <w:rPr>
          <w:lang w:val="fr-FR"/>
        </w:rPr>
        <w:t xml:space="preserve">obtenir </w:t>
      </w:r>
      <w:r w:rsidR="005F197B" w:rsidRPr="00870D9A">
        <w:rPr>
          <w:lang w:val="fr-FR"/>
        </w:rPr>
        <w:t>la reconnaissance de</w:t>
      </w:r>
      <w:r w:rsidRPr="00870D9A">
        <w:rPr>
          <w:lang w:val="fr-FR"/>
        </w:rPr>
        <w:t xml:space="preserve"> la réévaluation et </w:t>
      </w:r>
      <w:r w:rsidR="005F197B" w:rsidRPr="00870D9A">
        <w:rPr>
          <w:lang w:val="fr-FR"/>
        </w:rPr>
        <w:t xml:space="preserve">des </w:t>
      </w:r>
      <w:r w:rsidRPr="00870D9A">
        <w:rPr>
          <w:lang w:val="fr-FR"/>
        </w:rPr>
        <w:t>intérêts sur les arriérés de sa pension.</w:t>
      </w:r>
    </w:p>
    <w:p w:rsidR="003E04EE" w:rsidRPr="00870D9A" w:rsidRDefault="003E04EE"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9</w:t>
      </w:r>
      <w:r w:rsidRPr="00870D9A">
        <w:rPr>
          <w:lang w:val="fr-FR"/>
        </w:rPr>
        <w:fldChar w:fldCharType="end"/>
      </w:r>
      <w:r w:rsidRPr="00870D9A">
        <w:rPr>
          <w:lang w:val="fr-FR"/>
        </w:rPr>
        <w:t>.  Le 27 mars 1998, après trois reports de l</w:t>
      </w:r>
      <w:r w:rsidR="00870D9A" w:rsidRPr="00870D9A">
        <w:rPr>
          <w:lang w:val="fr-FR"/>
        </w:rPr>
        <w:t>’</w:t>
      </w:r>
      <w:r w:rsidRPr="00870D9A">
        <w:rPr>
          <w:lang w:val="fr-FR"/>
        </w:rPr>
        <w:t>audience, le juge d</w:t>
      </w:r>
      <w:r w:rsidR="00870D9A" w:rsidRPr="00870D9A">
        <w:rPr>
          <w:lang w:val="fr-FR"/>
        </w:rPr>
        <w:t>’</w:t>
      </w:r>
      <w:r w:rsidRPr="00870D9A">
        <w:rPr>
          <w:lang w:val="fr-FR"/>
        </w:rPr>
        <w:t>instance rejeta le recours pour forclusion. Le 24 septembre 1998, M</w:t>
      </w:r>
      <w:r w:rsidRPr="00870D9A">
        <w:rPr>
          <w:vertAlign w:val="superscript"/>
          <w:lang w:val="fr-FR"/>
        </w:rPr>
        <w:t>me</w:t>
      </w:r>
      <w:r w:rsidRPr="00870D9A">
        <w:rPr>
          <w:lang w:val="fr-FR"/>
        </w:rPr>
        <w:t xml:space="preserve"> T.G. décéda.</w:t>
      </w:r>
    </w:p>
    <w:p w:rsidR="003E04EE" w:rsidRPr="00870D9A" w:rsidRDefault="003E04EE"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10</w:t>
      </w:r>
      <w:r w:rsidRPr="00870D9A">
        <w:rPr>
          <w:lang w:val="fr-FR"/>
        </w:rPr>
        <w:fldChar w:fldCharType="end"/>
      </w:r>
      <w:r w:rsidRPr="00870D9A">
        <w:rPr>
          <w:lang w:val="fr-FR"/>
        </w:rPr>
        <w:t>.  Le 10 mars 1999, la requérante, en son nom et en sa qualité d</w:t>
      </w:r>
      <w:r w:rsidR="00870D9A" w:rsidRPr="00870D9A">
        <w:rPr>
          <w:lang w:val="fr-FR"/>
        </w:rPr>
        <w:t>’</w:t>
      </w:r>
      <w:r w:rsidRPr="00870D9A">
        <w:rPr>
          <w:lang w:val="fr-FR"/>
        </w:rPr>
        <w:t>héritière, interjeta appel devant le tribunal de Naples.</w:t>
      </w:r>
    </w:p>
    <w:p w:rsidR="003E04EE" w:rsidRPr="00870D9A" w:rsidRDefault="003E04EE"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11</w:t>
      </w:r>
      <w:r w:rsidRPr="00870D9A">
        <w:rPr>
          <w:lang w:val="fr-FR"/>
        </w:rPr>
        <w:fldChar w:fldCharType="end"/>
      </w:r>
      <w:r w:rsidRPr="00870D9A">
        <w:rPr>
          <w:lang w:val="fr-FR"/>
        </w:rPr>
        <w:t>.  Le 10 décembre 2002, ce tribunal reconnut le droit de la requérante à la réévaluation et aux intérêts demandés pour un montant de 12 240,26</w:t>
      </w:r>
      <w:proofErr w:type="gramStart"/>
      <w:r w:rsidR="00BC7129" w:rsidRPr="00870D9A">
        <w:rPr>
          <w:lang w:val="fr-FR"/>
        </w:rPr>
        <w:t> </w:t>
      </w:r>
      <w:r w:rsidRPr="00870D9A">
        <w:rPr>
          <w:lang w:val="fr-FR"/>
        </w:rPr>
        <w:t xml:space="preserve"> EUR</w:t>
      </w:r>
      <w:proofErr w:type="gramEnd"/>
      <w:r w:rsidRPr="00870D9A">
        <w:rPr>
          <w:lang w:val="fr-FR"/>
        </w:rPr>
        <w:t>. La décision devint définitive le 25 janvier 2004.</w:t>
      </w:r>
    </w:p>
    <w:p w:rsidR="003E04EE" w:rsidRPr="00870D9A" w:rsidRDefault="003E04EE"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12</w:t>
      </w:r>
      <w:r w:rsidRPr="00870D9A">
        <w:rPr>
          <w:lang w:val="fr-FR"/>
        </w:rPr>
        <w:fldChar w:fldCharType="end"/>
      </w:r>
      <w:r w:rsidRPr="00870D9A">
        <w:rPr>
          <w:lang w:val="fr-FR"/>
        </w:rPr>
        <w:t>.  En l</w:t>
      </w:r>
      <w:r w:rsidR="00870D9A" w:rsidRPr="00870D9A">
        <w:rPr>
          <w:lang w:val="fr-FR"/>
        </w:rPr>
        <w:t>’</w:t>
      </w:r>
      <w:r w:rsidRPr="00870D9A">
        <w:rPr>
          <w:lang w:val="fr-FR"/>
        </w:rPr>
        <w:t>absence d</w:t>
      </w:r>
      <w:r w:rsidR="00870D9A" w:rsidRPr="00870D9A">
        <w:rPr>
          <w:lang w:val="fr-FR"/>
        </w:rPr>
        <w:t>’</w:t>
      </w:r>
      <w:r w:rsidRPr="00870D9A">
        <w:rPr>
          <w:lang w:val="fr-FR"/>
        </w:rPr>
        <w:t>exécution de la part de l</w:t>
      </w:r>
      <w:r w:rsidR="00870D9A" w:rsidRPr="00870D9A">
        <w:rPr>
          <w:lang w:val="fr-FR"/>
        </w:rPr>
        <w:t>’</w:t>
      </w:r>
      <w:r w:rsidRPr="00870D9A">
        <w:rPr>
          <w:lang w:val="fr-FR"/>
        </w:rPr>
        <w:t>administration, la requérante signifia, le 14 juin 2004, à l</w:t>
      </w:r>
      <w:r w:rsidR="00870D9A" w:rsidRPr="00870D9A">
        <w:rPr>
          <w:lang w:val="fr-FR"/>
        </w:rPr>
        <w:t>’</w:t>
      </w:r>
      <w:r w:rsidRPr="00870D9A">
        <w:rPr>
          <w:lang w:val="fr-FR"/>
        </w:rPr>
        <w:t>Institut national de la sécurité sociale (</w:t>
      </w:r>
      <w:proofErr w:type="spellStart"/>
      <w:r w:rsidRPr="00870D9A">
        <w:rPr>
          <w:i/>
          <w:lang w:val="fr-FR"/>
        </w:rPr>
        <w:t>Istituto</w:t>
      </w:r>
      <w:proofErr w:type="spellEnd"/>
      <w:r w:rsidRPr="00870D9A">
        <w:rPr>
          <w:i/>
          <w:lang w:val="fr-FR"/>
        </w:rPr>
        <w:t xml:space="preserve"> Nazionale </w:t>
      </w:r>
      <w:proofErr w:type="spellStart"/>
      <w:r w:rsidRPr="00870D9A">
        <w:rPr>
          <w:i/>
          <w:lang w:val="fr-FR"/>
        </w:rPr>
        <w:t>della</w:t>
      </w:r>
      <w:proofErr w:type="spellEnd"/>
      <w:r w:rsidRPr="00870D9A">
        <w:rPr>
          <w:i/>
          <w:lang w:val="fr-FR"/>
        </w:rPr>
        <w:t xml:space="preserve"> </w:t>
      </w:r>
      <w:proofErr w:type="spellStart"/>
      <w:r w:rsidRPr="00870D9A">
        <w:rPr>
          <w:i/>
          <w:lang w:val="fr-FR"/>
        </w:rPr>
        <w:t>Previdenza</w:t>
      </w:r>
      <w:proofErr w:type="spellEnd"/>
      <w:r w:rsidRPr="00870D9A">
        <w:rPr>
          <w:i/>
          <w:lang w:val="fr-FR"/>
        </w:rPr>
        <w:t xml:space="preserve"> Sociale </w:t>
      </w:r>
      <w:r w:rsidRPr="00870D9A">
        <w:rPr>
          <w:lang w:val="fr-FR"/>
        </w:rPr>
        <w:t>– INPS) une injonction de payer (</w:t>
      </w:r>
      <w:proofErr w:type="spellStart"/>
      <w:r w:rsidRPr="00870D9A">
        <w:rPr>
          <w:i/>
          <w:lang w:val="fr-FR"/>
        </w:rPr>
        <w:t>atto</w:t>
      </w:r>
      <w:proofErr w:type="spellEnd"/>
      <w:r w:rsidRPr="00870D9A">
        <w:rPr>
          <w:i/>
          <w:lang w:val="fr-FR"/>
        </w:rPr>
        <w:t xml:space="preserve"> di </w:t>
      </w:r>
      <w:proofErr w:type="spellStart"/>
      <w:r w:rsidRPr="00870D9A">
        <w:rPr>
          <w:i/>
          <w:lang w:val="fr-FR"/>
        </w:rPr>
        <w:t>precetto</w:t>
      </w:r>
      <w:proofErr w:type="spellEnd"/>
      <w:r w:rsidRPr="00870D9A">
        <w:rPr>
          <w:lang w:val="fr-FR"/>
        </w:rPr>
        <w:t>) pour un montant de 30 364,38 EUR, correspondant à la somme litigieuse majorée des intérêts et de la réévaluation.</w:t>
      </w:r>
    </w:p>
    <w:bookmarkStart w:id="3" w:name="SAISIE_ARRET"/>
    <w:p w:rsidR="003E04EE" w:rsidRPr="00870D9A" w:rsidRDefault="003E04EE"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13</w:t>
      </w:r>
      <w:r w:rsidRPr="00870D9A">
        <w:rPr>
          <w:lang w:val="fr-FR"/>
        </w:rPr>
        <w:fldChar w:fldCharType="end"/>
      </w:r>
      <w:bookmarkEnd w:id="3"/>
      <w:r w:rsidRPr="00870D9A">
        <w:rPr>
          <w:lang w:val="fr-FR"/>
        </w:rPr>
        <w:t>.  Le 2</w:t>
      </w:r>
      <w:r w:rsidR="00C1792D" w:rsidRPr="00870D9A">
        <w:rPr>
          <w:lang w:val="fr-FR"/>
        </w:rPr>
        <w:t>5</w:t>
      </w:r>
      <w:r w:rsidRPr="00870D9A">
        <w:rPr>
          <w:lang w:val="fr-FR"/>
        </w:rPr>
        <w:t xml:space="preserve"> janvier 2005, elle obtint </w:t>
      </w:r>
      <w:r w:rsidR="00526F39" w:rsidRPr="00870D9A">
        <w:rPr>
          <w:lang w:val="fr-FR"/>
        </w:rPr>
        <w:t>du juge de l</w:t>
      </w:r>
      <w:r w:rsidR="00870D9A" w:rsidRPr="00870D9A">
        <w:rPr>
          <w:lang w:val="fr-FR"/>
        </w:rPr>
        <w:t>’</w:t>
      </w:r>
      <w:r w:rsidR="00526F39" w:rsidRPr="00870D9A">
        <w:rPr>
          <w:lang w:val="fr-FR"/>
        </w:rPr>
        <w:t xml:space="preserve">exécution de Naples </w:t>
      </w:r>
      <w:r w:rsidRPr="00870D9A">
        <w:rPr>
          <w:lang w:val="fr-FR"/>
        </w:rPr>
        <w:t>une saisie-a</w:t>
      </w:r>
      <w:r w:rsidR="00615003" w:rsidRPr="00870D9A">
        <w:rPr>
          <w:lang w:val="fr-FR"/>
        </w:rPr>
        <w:t xml:space="preserve">ttribution </w:t>
      </w:r>
      <w:r w:rsidRPr="00870D9A">
        <w:rPr>
          <w:lang w:val="fr-FR"/>
        </w:rPr>
        <w:t>(</w:t>
      </w:r>
      <w:proofErr w:type="spellStart"/>
      <w:r w:rsidRPr="00870D9A">
        <w:rPr>
          <w:i/>
          <w:lang w:val="fr-FR"/>
        </w:rPr>
        <w:t>pignoramento</w:t>
      </w:r>
      <w:proofErr w:type="spellEnd"/>
      <w:r w:rsidRPr="00870D9A">
        <w:rPr>
          <w:i/>
          <w:lang w:val="fr-FR"/>
        </w:rPr>
        <w:t xml:space="preserve"> presso </w:t>
      </w:r>
      <w:proofErr w:type="spellStart"/>
      <w:r w:rsidRPr="00870D9A">
        <w:rPr>
          <w:i/>
          <w:lang w:val="fr-FR"/>
        </w:rPr>
        <w:t>terzi</w:t>
      </w:r>
      <w:proofErr w:type="spellEnd"/>
      <w:r w:rsidRPr="00870D9A">
        <w:rPr>
          <w:lang w:val="fr-FR"/>
        </w:rPr>
        <w:t>) pour l</w:t>
      </w:r>
      <w:r w:rsidR="00870D9A" w:rsidRPr="00870D9A">
        <w:rPr>
          <w:lang w:val="fr-FR"/>
        </w:rPr>
        <w:t>’</w:t>
      </w:r>
      <w:r w:rsidRPr="00870D9A">
        <w:rPr>
          <w:lang w:val="fr-FR"/>
        </w:rPr>
        <w:t>intégralité de sa créance.</w:t>
      </w:r>
    </w:p>
    <w:p w:rsidR="003E04EE" w:rsidRPr="00870D9A" w:rsidRDefault="00AE4277" w:rsidP="00870D9A">
      <w:pPr>
        <w:pStyle w:val="ECHRHeading2"/>
        <w:rPr>
          <w:lang w:val="fr-FR"/>
        </w:rPr>
      </w:pPr>
      <w:r w:rsidRPr="00870D9A">
        <w:rPr>
          <w:lang w:val="fr-FR"/>
        </w:rPr>
        <w:t>B</w:t>
      </w:r>
      <w:r w:rsidR="003E04EE" w:rsidRPr="00870D9A">
        <w:rPr>
          <w:lang w:val="fr-FR"/>
        </w:rPr>
        <w:t>.</w:t>
      </w:r>
      <w:proofErr w:type="gramStart"/>
      <w:r w:rsidR="003E04EE" w:rsidRPr="00870D9A">
        <w:rPr>
          <w:lang w:val="fr-FR"/>
        </w:rPr>
        <w:t>  La</w:t>
      </w:r>
      <w:proofErr w:type="gramEnd"/>
      <w:r w:rsidR="003E04EE" w:rsidRPr="00870D9A">
        <w:rPr>
          <w:lang w:val="fr-FR"/>
        </w:rPr>
        <w:t xml:space="preserve"> procédure « Pinto »</w:t>
      </w:r>
    </w:p>
    <w:p w:rsidR="003E04EE" w:rsidRPr="00870D9A" w:rsidRDefault="003E04EE"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14</w:t>
      </w:r>
      <w:r w:rsidRPr="00870D9A">
        <w:rPr>
          <w:lang w:val="fr-FR"/>
        </w:rPr>
        <w:fldChar w:fldCharType="end"/>
      </w:r>
      <w:r w:rsidRPr="00870D9A">
        <w:rPr>
          <w:lang w:val="fr-FR"/>
        </w:rPr>
        <w:t>.  Le 25 mai 2005, la requérante saisit la cour d</w:t>
      </w:r>
      <w:r w:rsidR="00870D9A" w:rsidRPr="00870D9A">
        <w:rPr>
          <w:lang w:val="fr-FR"/>
        </w:rPr>
        <w:t>’</w:t>
      </w:r>
      <w:r w:rsidRPr="00870D9A">
        <w:rPr>
          <w:lang w:val="fr-FR"/>
        </w:rPr>
        <w:t>appel « Pinto » de Rome pour se plaindre de la durée excessive de la procédure. Quant à la recevabilité de sa demande, elle argua que, aux termes de l</w:t>
      </w:r>
      <w:r w:rsidR="00870D9A" w:rsidRPr="00870D9A">
        <w:rPr>
          <w:lang w:val="fr-FR"/>
        </w:rPr>
        <w:t>’</w:t>
      </w:r>
      <w:r w:rsidRPr="00870D9A">
        <w:rPr>
          <w:lang w:val="fr-FR"/>
        </w:rPr>
        <w:t>article 4 de la loi n</w:t>
      </w:r>
      <w:r w:rsidRPr="00870D9A">
        <w:rPr>
          <w:vertAlign w:val="superscript"/>
          <w:lang w:val="fr-FR"/>
        </w:rPr>
        <w:t>o</w:t>
      </w:r>
      <w:r w:rsidR="00E70CF7" w:rsidRPr="00870D9A">
        <w:rPr>
          <w:lang w:val="fr-FR"/>
        </w:rPr>
        <w:t> </w:t>
      </w:r>
      <w:r w:rsidRPr="00870D9A">
        <w:rPr>
          <w:lang w:val="fr-FR"/>
        </w:rPr>
        <w:t>89/2001, la « décision interne définitive » à prendre en compte était l</w:t>
      </w:r>
      <w:r w:rsidR="000A6834" w:rsidRPr="00870D9A">
        <w:rPr>
          <w:lang w:val="fr-FR"/>
        </w:rPr>
        <w:t>a décision</w:t>
      </w:r>
      <w:r w:rsidRPr="00870D9A">
        <w:rPr>
          <w:lang w:val="fr-FR"/>
        </w:rPr>
        <w:t xml:space="preserve"> du juge de l</w:t>
      </w:r>
      <w:r w:rsidR="00870D9A" w:rsidRPr="00870D9A">
        <w:rPr>
          <w:lang w:val="fr-FR"/>
        </w:rPr>
        <w:t>’</w:t>
      </w:r>
      <w:r w:rsidRPr="00870D9A">
        <w:rPr>
          <w:lang w:val="fr-FR"/>
        </w:rPr>
        <w:t>exécution du 2</w:t>
      </w:r>
      <w:r w:rsidR="00C1792D" w:rsidRPr="00870D9A">
        <w:rPr>
          <w:lang w:val="fr-FR"/>
        </w:rPr>
        <w:t>5</w:t>
      </w:r>
      <w:r w:rsidRPr="00870D9A">
        <w:rPr>
          <w:lang w:val="fr-FR"/>
        </w:rPr>
        <w:t xml:space="preserve"> janvier 2005. Par conséquent, selon elle, le délai de six mois requis pour l</w:t>
      </w:r>
      <w:r w:rsidR="00870D9A" w:rsidRPr="00870D9A">
        <w:rPr>
          <w:lang w:val="fr-FR"/>
        </w:rPr>
        <w:t>’</w:t>
      </w:r>
      <w:r w:rsidRPr="00870D9A">
        <w:rPr>
          <w:lang w:val="fr-FR"/>
        </w:rPr>
        <w:t>introduction de la demande de satisfaction équitable devait courir à partir de cette date.</w:t>
      </w:r>
    </w:p>
    <w:p w:rsidR="003E04EE" w:rsidRPr="00870D9A" w:rsidRDefault="003E04EE"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15</w:t>
      </w:r>
      <w:r w:rsidRPr="00870D9A">
        <w:rPr>
          <w:lang w:val="fr-FR"/>
        </w:rPr>
        <w:fldChar w:fldCharType="end"/>
      </w:r>
      <w:r w:rsidRPr="00870D9A">
        <w:rPr>
          <w:lang w:val="fr-FR"/>
        </w:rPr>
        <w:t>.  Le 18 mai 2006, la cour d</w:t>
      </w:r>
      <w:r w:rsidR="00870D9A" w:rsidRPr="00870D9A">
        <w:rPr>
          <w:lang w:val="fr-FR"/>
        </w:rPr>
        <w:t>’</w:t>
      </w:r>
      <w:r w:rsidRPr="00870D9A">
        <w:rPr>
          <w:lang w:val="fr-FR"/>
        </w:rPr>
        <w:t>appel déclara le recours irrecevable pour tardiveté. Elle considéra que la décision interne définitive était celle</w:t>
      </w:r>
      <w:r w:rsidR="000A6834" w:rsidRPr="00870D9A">
        <w:rPr>
          <w:lang w:val="fr-FR"/>
        </w:rPr>
        <w:t xml:space="preserve"> rendue à conclusion de la procédure au fond par</w:t>
      </w:r>
      <w:r w:rsidRPr="00870D9A">
        <w:rPr>
          <w:lang w:val="fr-FR"/>
        </w:rPr>
        <w:t xml:space="preserve"> le tribunal de Naples</w:t>
      </w:r>
      <w:r w:rsidR="000A6834" w:rsidRPr="00870D9A">
        <w:rPr>
          <w:lang w:val="fr-FR"/>
        </w:rPr>
        <w:t>,</w:t>
      </w:r>
      <w:r w:rsidRPr="00870D9A">
        <w:rPr>
          <w:lang w:val="fr-FR"/>
        </w:rPr>
        <w:t xml:space="preserve"> passée en force de chose jugée le 25 janvier 2004.</w:t>
      </w:r>
    </w:p>
    <w:p w:rsidR="003E04EE" w:rsidRPr="00870D9A" w:rsidRDefault="003E04EE"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16</w:t>
      </w:r>
      <w:r w:rsidRPr="00870D9A">
        <w:rPr>
          <w:lang w:val="fr-FR"/>
        </w:rPr>
        <w:fldChar w:fldCharType="end"/>
      </w:r>
      <w:r w:rsidRPr="00870D9A">
        <w:rPr>
          <w:lang w:val="fr-FR"/>
        </w:rPr>
        <w:t>.  Par une ordonnance du 25 septembre 2008, la Cour de cassation confirma la décision entreprise et débouta la requérante de son pourvoi.</w:t>
      </w:r>
    </w:p>
    <w:p w:rsidR="00E77CB3" w:rsidRPr="00870D9A" w:rsidRDefault="00E77CB3" w:rsidP="00870D9A">
      <w:pPr>
        <w:pStyle w:val="ECHRHeading1"/>
        <w:rPr>
          <w:lang w:val="fr-FR"/>
        </w:rPr>
      </w:pPr>
      <w:r w:rsidRPr="00870D9A">
        <w:rPr>
          <w:lang w:val="fr-FR"/>
        </w:rPr>
        <w:lastRenderedPageBreak/>
        <w:t>II.</w:t>
      </w:r>
      <w:proofErr w:type="gramStart"/>
      <w:r w:rsidRPr="00870D9A">
        <w:rPr>
          <w:lang w:val="fr-FR"/>
        </w:rPr>
        <w:t>  LE</w:t>
      </w:r>
      <w:proofErr w:type="gramEnd"/>
      <w:r w:rsidRPr="00870D9A">
        <w:rPr>
          <w:lang w:val="fr-FR"/>
        </w:rPr>
        <w:t xml:space="preserve"> DROIT ET LA PRATIQUE INTERNES PERTINENTS</w:t>
      </w:r>
    </w:p>
    <w:bookmarkStart w:id="4" w:name="ARTICLE_4_LOI_PINTO"/>
    <w:p w:rsidR="00FB28EF" w:rsidRPr="00870D9A" w:rsidRDefault="005F347E" w:rsidP="00870D9A">
      <w:pPr>
        <w:pStyle w:val="ECHRPara"/>
        <w:rPr>
          <w:rFonts w:cs="Times New Roman"/>
          <w:color w:val="000000"/>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17</w:t>
      </w:r>
      <w:r w:rsidRPr="00870D9A">
        <w:rPr>
          <w:lang w:val="fr-FR"/>
        </w:rPr>
        <w:fldChar w:fldCharType="end"/>
      </w:r>
      <w:bookmarkEnd w:id="4"/>
      <w:r w:rsidR="00E77CB3" w:rsidRPr="00870D9A">
        <w:rPr>
          <w:lang w:val="fr-FR"/>
        </w:rPr>
        <w:t>.  </w:t>
      </w:r>
      <w:r w:rsidR="00FB28EF" w:rsidRPr="00870D9A">
        <w:rPr>
          <w:rFonts w:cs="Times New Roman"/>
          <w:color w:val="000000"/>
          <w:lang w:val="fr-FR"/>
        </w:rPr>
        <w:t>Le droit et la pratique internes pertinents relatifs à la loi n</w:t>
      </w:r>
      <w:r w:rsidR="00FB28EF" w:rsidRPr="00870D9A">
        <w:rPr>
          <w:rFonts w:cs="Times New Roman"/>
          <w:color w:val="000000"/>
          <w:vertAlign w:val="superscript"/>
          <w:lang w:val="fr-FR"/>
        </w:rPr>
        <w:t>o</w:t>
      </w:r>
      <w:r w:rsidR="00FB28EF" w:rsidRPr="00870D9A">
        <w:rPr>
          <w:rFonts w:cs="Times New Roman"/>
          <w:color w:val="000000"/>
          <w:lang w:val="fr-FR"/>
        </w:rPr>
        <w:t xml:space="preserve"> 89 du 24 mars 2001, dite « loi Pinto », figurent dans l</w:t>
      </w:r>
      <w:r w:rsidR="00870D9A" w:rsidRPr="00870D9A">
        <w:rPr>
          <w:rFonts w:cs="Times New Roman"/>
          <w:color w:val="000000"/>
          <w:lang w:val="fr-FR"/>
        </w:rPr>
        <w:t>’</w:t>
      </w:r>
      <w:r w:rsidR="00FB28EF" w:rsidRPr="00870D9A">
        <w:rPr>
          <w:rFonts w:cs="Times New Roman"/>
          <w:color w:val="000000"/>
          <w:lang w:val="fr-FR"/>
        </w:rPr>
        <w:t xml:space="preserve">arrêt </w:t>
      </w:r>
      <w:proofErr w:type="spellStart"/>
      <w:r w:rsidR="00FB28EF" w:rsidRPr="00870D9A">
        <w:rPr>
          <w:i/>
          <w:szCs w:val="24"/>
          <w:lang w:val="fr-FR"/>
        </w:rPr>
        <w:t>Cocchiarella</w:t>
      </w:r>
      <w:proofErr w:type="spellEnd"/>
      <w:r w:rsidR="00FB28EF" w:rsidRPr="00870D9A">
        <w:rPr>
          <w:i/>
          <w:szCs w:val="24"/>
          <w:lang w:val="fr-FR"/>
        </w:rPr>
        <w:t xml:space="preserve"> c. </w:t>
      </w:r>
      <w:r w:rsidR="00FB28EF" w:rsidRPr="00870D9A">
        <w:rPr>
          <w:i/>
          <w:spacing w:val="-2"/>
          <w:szCs w:val="24"/>
          <w:lang w:val="fr-FR"/>
        </w:rPr>
        <w:t>Italie</w:t>
      </w:r>
      <w:r w:rsidR="00FB28EF" w:rsidRPr="00870D9A">
        <w:rPr>
          <w:szCs w:val="24"/>
          <w:lang w:val="fr-FR"/>
        </w:rPr>
        <w:t xml:space="preserve"> ([GC], n</w:t>
      </w:r>
      <w:r w:rsidR="00FB28EF" w:rsidRPr="00870D9A">
        <w:rPr>
          <w:szCs w:val="24"/>
          <w:vertAlign w:val="superscript"/>
          <w:lang w:val="fr-FR"/>
        </w:rPr>
        <w:t>o</w:t>
      </w:r>
      <w:r w:rsidR="00FB28EF" w:rsidRPr="00870D9A">
        <w:rPr>
          <w:szCs w:val="24"/>
          <w:lang w:val="fr-FR"/>
        </w:rPr>
        <w:t xml:space="preserve"> 64886/01, § 23-31, CEDH 2006</w:t>
      </w:r>
      <w:r w:rsidR="00FB28EF" w:rsidRPr="00870D9A">
        <w:rPr>
          <w:szCs w:val="24"/>
          <w:lang w:val="fr-FR"/>
        </w:rPr>
        <w:noBreakHyphen/>
        <w:t>V).</w:t>
      </w:r>
      <w:r w:rsidR="00FB28EF" w:rsidRPr="00870D9A">
        <w:rPr>
          <w:rFonts w:cs="Times New Roman"/>
          <w:color w:val="000000"/>
          <w:lang w:val="fr-FR"/>
        </w:rPr>
        <w:t xml:space="preserve"> En particulier, le texte de l</w:t>
      </w:r>
      <w:r w:rsidR="00870D9A" w:rsidRPr="00870D9A">
        <w:rPr>
          <w:rFonts w:cs="Times New Roman"/>
          <w:color w:val="000000"/>
          <w:lang w:val="fr-FR"/>
        </w:rPr>
        <w:t>’</w:t>
      </w:r>
      <w:r w:rsidR="00FB28EF" w:rsidRPr="00870D9A">
        <w:rPr>
          <w:rFonts w:cs="Times New Roman"/>
          <w:color w:val="000000"/>
          <w:lang w:val="fr-FR"/>
        </w:rPr>
        <w:t>article 4 de la loi</w:t>
      </w:r>
      <w:r w:rsidR="00DF783E" w:rsidRPr="00870D9A">
        <w:rPr>
          <w:rFonts w:cs="Times New Roman"/>
          <w:color w:val="000000"/>
          <w:lang w:val="fr-FR"/>
        </w:rPr>
        <w:t>, applicable à l</w:t>
      </w:r>
      <w:r w:rsidR="00870D9A" w:rsidRPr="00870D9A">
        <w:rPr>
          <w:rFonts w:cs="Times New Roman"/>
          <w:color w:val="000000"/>
          <w:lang w:val="fr-FR"/>
        </w:rPr>
        <w:t>’</w:t>
      </w:r>
      <w:r w:rsidR="00DF783E" w:rsidRPr="00870D9A">
        <w:rPr>
          <w:rFonts w:cs="Times New Roman"/>
          <w:color w:val="000000"/>
          <w:lang w:val="fr-FR"/>
        </w:rPr>
        <w:t>époque des faits litigieux,</w:t>
      </w:r>
      <w:r w:rsidR="00FB28EF" w:rsidRPr="00870D9A">
        <w:rPr>
          <w:rFonts w:cs="Times New Roman"/>
          <w:color w:val="000000"/>
          <w:lang w:val="fr-FR"/>
        </w:rPr>
        <w:t xml:space="preserve"> se lit comme suit :</w:t>
      </w:r>
    </w:p>
    <w:p w:rsidR="00FB28EF" w:rsidRPr="00870D9A" w:rsidRDefault="00FB28EF" w:rsidP="00870D9A">
      <w:pPr>
        <w:pStyle w:val="ECHRTitleCentre3"/>
        <w:rPr>
          <w:lang w:val="fr-FR"/>
        </w:rPr>
      </w:pPr>
      <w:r w:rsidRPr="00870D9A">
        <w:rPr>
          <w:lang w:val="fr-FR"/>
        </w:rPr>
        <w:t>Article 4 – Délai et conditions concernant l</w:t>
      </w:r>
      <w:r w:rsidR="00870D9A" w:rsidRPr="00870D9A">
        <w:rPr>
          <w:lang w:val="fr-FR"/>
        </w:rPr>
        <w:t>’</w:t>
      </w:r>
      <w:r w:rsidRPr="00870D9A">
        <w:rPr>
          <w:lang w:val="fr-FR"/>
        </w:rPr>
        <w:t>introduction d</w:t>
      </w:r>
      <w:r w:rsidR="00870D9A" w:rsidRPr="00870D9A">
        <w:rPr>
          <w:lang w:val="fr-FR"/>
        </w:rPr>
        <w:t>’</w:t>
      </w:r>
      <w:r w:rsidRPr="00870D9A">
        <w:rPr>
          <w:lang w:val="fr-FR"/>
        </w:rPr>
        <w:t>une requête</w:t>
      </w:r>
    </w:p>
    <w:p w:rsidR="00FB28EF" w:rsidRPr="00870D9A" w:rsidRDefault="00FB28EF" w:rsidP="00870D9A">
      <w:pPr>
        <w:pStyle w:val="ECHRParaQuote"/>
        <w:rPr>
          <w:lang w:val="fr-FR"/>
        </w:rPr>
      </w:pPr>
      <w:r w:rsidRPr="00870D9A">
        <w:rPr>
          <w:lang w:val="fr-FR"/>
        </w:rPr>
        <w:t>« La demande de réparation peut être présentée au cours de la procédure au sujet de laquelle on allègue la violation ou, sous peine de déchéance, dans un délai de six mois à partir de la date à laquelle la décision concluant ladite procédure est devenue définitive. »</w:t>
      </w:r>
    </w:p>
    <w:p w:rsidR="00FB28EF" w:rsidRPr="00870D9A" w:rsidRDefault="00FB28EF"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18</w:t>
      </w:r>
      <w:r w:rsidRPr="00870D9A">
        <w:rPr>
          <w:lang w:val="fr-FR"/>
        </w:rPr>
        <w:fldChar w:fldCharType="end"/>
      </w:r>
      <w:r w:rsidRPr="00870D9A">
        <w:rPr>
          <w:lang w:val="fr-FR"/>
        </w:rPr>
        <w:t>.  En ce qui concerne le lien entre la procédure au fond et la procédure d</w:t>
      </w:r>
      <w:r w:rsidR="00870D9A" w:rsidRPr="00870D9A">
        <w:rPr>
          <w:lang w:val="fr-FR"/>
        </w:rPr>
        <w:t>’</w:t>
      </w:r>
      <w:r w:rsidRPr="00870D9A">
        <w:rPr>
          <w:lang w:val="fr-FR"/>
        </w:rPr>
        <w:t xml:space="preserve">exécution, la jurisprudence de la Cour de cassation a fait apparaître deux </w:t>
      </w:r>
      <w:r w:rsidR="000A6834" w:rsidRPr="00870D9A">
        <w:rPr>
          <w:lang w:val="fr-FR"/>
        </w:rPr>
        <w:t>approches</w:t>
      </w:r>
      <w:r w:rsidRPr="00870D9A">
        <w:rPr>
          <w:lang w:val="fr-FR"/>
        </w:rPr>
        <w:t xml:space="preserve"> opposées, notamment en relation au contentieux administratif.</w:t>
      </w:r>
    </w:p>
    <w:p w:rsidR="00FB28EF" w:rsidRPr="00870D9A" w:rsidRDefault="00FB28EF"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19</w:t>
      </w:r>
      <w:r w:rsidRPr="00870D9A">
        <w:rPr>
          <w:lang w:val="fr-FR"/>
        </w:rPr>
        <w:fldChar w:fldCharType="end"/>
      </w:r>
      <w:r w:rsidRPr="00870D9A">
        <w:rPr>
          <w:lang w:val="fr-FR"/>
        </w:rPr>
        <w:t>.  Selon une jurisprudence plus ancienne, la procédure au fond et la procédure d</w:t>
      </w:r>
      <w:r w:rsidR="00870D9A" w:rsidRPr="00870D9A">
        <w:rPr>
          <w:lang w:val="fr-FR"/>
        </w:rPr>
        <w:t>’</w:t>
      </w:r>
      <w:r w:rsidRPr="00870D9A">
        <w:rPr>
          <w:lang w:val="fr-FR"/>
        </w:rPr>
        <w:t>exécution pouvaient être prises comme un tout. La Cour de cassation affirmait que « la date à laquelle la décision concluant ladite procédure [était] devenue définitive », aux termes de l</w:t>
      </w:r>
      <w:r w:rsidR="00870D9A" w:rsidRPr="00870D9A">
        <w:rPr>
          <w:lang w:val="fr-FR"/>
        </w:rPr>
        <w:t>’</w:t>
      </w:r>
      <w:r w:rsidRPr="00870D9A">
        <w:rPr>
          <w:lang w:val="fr-FR"/>
        </w:rPr>
        <w:t>article 4 de la loi n</w:t>
      </w:r>
      <w:r w:rsidRPr="00870D9A">
        <w:rPr>
          <w:vertAlign w:val="superscript"/>
          <w:lang w:val="fr-FR"/>
        </w:rPr>
        <w:t>o </w:t>
      </w:r>
      <w:r w:rsidRPr="00870D9A">
        <w:rPr>
          <w:lang w:val="fr-FR"/>
        </w:rPr>
        <w:t>89/2001, devait être la date à laquelle le droit revendiqué au début de la procédure au fond trouvait sa réalisation effective à la fin de la procédure d</w:t>
      </w:r>
      <w:r w:rsidR="00870D9A" w:rsidRPr="00870D9A">
        <w:rPr>
          <w:lang w:val="fr-FR"/>
        </w:rPr>
        <w:t>’</w:t>
      </w:r>
      <w:r w:rsidRPr="00870D9A">
        <w:rPr>
          <w:lang w:val="fr-FR"/>
        </w:rPr>
        <w:t>exécution (</w:t>
      </w:r>
      <w:proofErr w:type="spellStart"/>
      <w:r w:rsidRPr="00870D9A">
        <w:rPr>
          <w:i/>
          <w:lang w:val="fr-FR"/>
        </w:rPr>
        <w:t>giudizio</w:t>
      </w:r>
      <w:proofErr w:type="spellEnd"/>
      <w:r w:rsidRPr="00870D9A">
        <w:rPr>
          <w:i/>
          <w:lang w:val="fr-FR"/>
        </w:rPr>
        <w:t xml:space="preserve"> di </w:t>
      </w:r>
      <w:proofErr w:type="spellStart"/>
      <w:r w:rsidRPr="00870D9A">
        <w:rPr>
          <w:i/>
          <w:lang w:val="fr-FR"/>
        </w:rPr>
        <w:t>ottemperanza</w:t>
      </w:r>
      <w:proofErr w:type="spellEnd"/>
      <w:r w:rsidRPr="00870D9A">
        <w:rPr>
          <w:lang w:val="fr-FR"/>
        </w:rPr>
        <w:t xml:space="preserve">). Cette deuxième procédure </w:t>
      </w:r>
      <w:r w:rsidR="00BC7129" w:rsidRPr="00870D9A">
        <w:rPr>
          <w:lang w:val="fr-FR"/>
        </w:rPr>
        <w:noBreakHyphen/>
      </w:r>
      <w:r w:rsidRPr="00870D9A">
        <w:rPr>
          <w:lang w:val="fr-FR"/>
        </w:rPr>
        <w:t xml:space="preserve"> éventuelle – était activée par l</w:t>
      </w:r>
      <w:r w:rsidR="00870D9A" w:rsidRPr="00870D9A">
        <w:rPr>
          <w:lang w:val="fr-FR"/>
        </w:rPr>
        <w:t>’</w:t>
      </w:r>
      <w:r w:rsidRPr="00870D9A">
        <w:rPr>
          <w:lang w:val="fr-FR"/>
        </w:rPr>
        <w:t>intéressé en raison de l</w:t>
      </w:r>
      <w:r w:rsidR="00870D9A" w:rsidRPr="00870D9A">
        <w:rPr>
          <w:lang w:val="fr-FR"/>
        </w:rPr>
        <w:t>’</w:t>
      </w:r>
      <w:r w:rsidRPr="00870D9A">
        <w:rPr>
          <w:lang w:val="fr-FR"/>
        </w:rPr>
        <w:t>inaction de l</w:t>
      </w:r>
      <w:r w:rsidR="00870D9A" w:rsidRPr="00870D9A">
        <w:rPr>
          <w:lang w:val="fr-FR"/>
        </w:rPr>
        <w:t>’</w:t>
      </w:r>
      <w:r w:rsidRPr="00870D9A">
        <w:rPr>
          <w:lang w:val="fr-FR"/>
        </w:rPr>
        <w:t xml:space="preserve">administration, lorsque celle-ci ne se conformait pas à la décision devenue </w:t>
      </w:r>
      <w:r w:rsidR="000A6834" w:rsidRPr="00870D9A">
        <w:rPr>
          <w:lang w:val="fr-FR"/>
        </w:rPr>
        <w:t>exécutoire</w:t>
      </w:r>
      <w:r w:rsidRPr="00870D9A">
        <w:rPr>
          <w:lang w:val="fr-FR"/>
        </w:rPr>
        <w:t xml:space="preserve"> (voir, parmi d</w:t>
      </w:r>
      <w:r w:rsidR="00870D9A" w:rsidRPr="00870D9A">
        <w:rPr>
          <w:lang w:val="fr-FR"/>
        </w:rPr>
        <w:t>’</w:t>
      </w:r>
      <w:r w:rsidRPr="00870D9A">
        <w:rPr>
          <w:lang w:val="fr-FR"/>
        </w:rPr>
        <w:t>autres, les arrêts n</w:t>
      </w:r>
      <w:r w:rsidRPr="00870D9A">
        <w:rPr>
          <w:vertAlign w:val="superscript"/>
          <w:lang w:val="fr-FR"/>
        </w:rPr>
        <w:t xml:space="preserve">o </w:t>
      </w:r>
      <w:r w:rsidRPr="00870D9A">
        <w:rPr>
          <w:lang w:val="fr-FR"/>
        </w:rPr>
        <w:t>7978/2005, n</w:t>
      </w:r>
      <w:r w:rsidRPr="00870D9A">
        <w:rPr>
          <w:vertAlign w:val="superscript"/>
          <w:lang w:val="fr-FR"/>
        </w:rPr>
        <w:t>o</w:t>
      </w:r>
      <w:r w:rsidR="00BC7129" w:rsidRPr="00870D9A">
        <w:rPr>
          <w:vertAlign w:val="superscript"/>
          <w:lang w:val="fr-FR"/>
        </w:rPr>
        <w:t> </w:t>
      </w:r>
      <w:r w:rsidRPr="00870D9A">
        <w:rPr>
          <w:lang w:val="fr-FR"/>
        </w:rPr>
        <w:t>14595/2008 et n</w:t>
      </w:r>
      <w:r w:rsidRPr="00870D9A">
        <w:rPr>
          <w:vertAlign w:val="superscript"/>
          <w:lang w:val="fr-FR"/>
        </w:rPr>
        <w:t>o </w:t>
      </w:r>
      <w:r w:rsidRPr="00870D9A">
        <w:rPr>
          <w:lang w:val="fr-FR"/>
        </w:rPr>
        <w:t>1019/2009 de la Cour de cassation).</w:t>
      </w:r>
    </w:p>
    <w:p w:rsidR="00FB28EF" w:rsidRPr="00870D9A" w:rsidRDefault="00FB28EF"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20</w:t>
      </w:r>
      <w:r w:rsidRPr="00870D9A">
        <w:rPr>
          <w:lang w:val="fr-FR"/>
        </w:rPr>
        <w:fldChar w:fldCharType="end"/>
      </w:r>
      <w:r w:rsidRPr="00870D9A">
        <w:rPr>
          <w:lang w:val="fr-FR"/>
        </w:rPr>
        <w:t>.  Cette jurisprudence a été progressivement abandonnée. La Cour de cassation a par la suite affirmé (voir en particulier l</w:t>
      </w:r>
      <w:r w:rsidR="00870D9A" w:rsidRPr="00870D9A">
        <w:rPr>
          <w:lang w:val="fr-FR"/>
        </w:rPr>
        <w:t>’</w:t>
      </w:r>
      <w:r w:rsidRPr="00870D9A">
        <w:rPr>
          <w:lang w:val="fr-FR"/>
        </w:rPr>
        <w:t>arrêt n</w:t>
      </w:r>
      <w:r w:rsidRPr="00870D9A">
        <w:rPr>
          <w:vertAlign w:val="superscript"/>
          <w:lang w:val="fr-FR"/>
        </w:rPr>
        <w:t>o</w:t>
      </w:r>
      <w:r w:rsidRPr="00870D9A">
        <w:rPr>
          <w:lang w:val="fr-FR"/>
        </w:rPr>
        <w:t xml:space="preserve"> 1732/2009) que les deux phases devaient être considérées comme autonomes, et ce en raison des caractéristiques de la procédure administrative d</w:t>
      </w:r>
      <w:r w:rsidR="00870D9A" w:rsidRPr="00870D9A">
        <w:rPr>
          <w:lang w:val="fr-FR"/>
        </w:rPr>
        <w:t>’</w:t>
      </w:r>
      <w:r w:rsidRPr="00870D9A">
        <w:rPr>
          <w:lang w:val="fr-FR"/>
        </w:rPr>
        <w:t>exécution, en particulier depuis la loi de réforme de la justice administrative (loi n</w:t>
      </w:r>
      <w:r w:rsidRPr="00870D9A">
        <w:rPr>
          <w:vertAlign w:val="superscript"/>
          <w:lang w:val="fr-FR"/>
        </w:rPr>
        <w:t>o</w:t>
      </w:r>
      <w:r w:rsidRPr="00870D9A">
        <w:rPr>
          <w:lang w:val="fr-FR"/>
        </w:rPr>
        <w:t> 205/2000).</w:t>
      </w:r>
    </w:p>
    <w:p w:rsidR="00FB28EF" w:rsidRPr="00870D9A" w:rsidRDefault="00FB28EF"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21</w:t>
      </w:r>
      <w:r w:rsidRPr="00870D9A">
        <w:rPr>
          <w:lang w:val="fr-FR"/>
        </w:rPr>
        <w:fldChar w:fldCharType="end"/>
      </w:r>
      <w:r w:rsidRPr="00870D9A">
        <w:rPr>
          <w:lang w:val="fr-FR"/>
        </w:rPr>
        <w:t>.  L</w:t>
      </w:r>
      <w:r w:rsidR="00870D9A" w:rsidRPr="00870D9A">
        <w:rPr>
          <w:lang w:val="fr-FR"/>
        </w:rPr>
        <w:t>’</w:t>
      </w:r>
      <w:r w:rsidRPr="00870D9A">
        <w:rPr>
          <w:lang w:val="fr-FR"/>
        </w:rPr>
        <w:t>Assemblée plénière (</w:t>
      </w:r>
      <w:proofErr w:type="spellStart"/>
      <w:r w:rsidRPr="00870D9A">
        <w:rPr>
          <w:i/>
          <w:lang w:val="fr-FR"/>
        </w:rPr>
        <w:t>Sezioni</w:t>
      </w:r>
      <w:proofErr w:type="spellEnd"/>
      <w:r w:rsidRPr="00870D9A">
        <w:rPr>
          <w:i/>
          <w:lang w:val="fr-FR"/>
        </w:rPr>
        <w:t xml:space="preserve"> </w:t>
      </w:r>
      <w:proofErr w:type="spellStart"/>
      <w:r w:rsidRPr="00870D9A">
        <w:rPr>
          <w:i/>
          <w:lang w:val="fr-FR"/>
        </w:rPr>
        <w:t>Unite</w:t>
      </w:r>
      <w:proofErr w:type="spellEnd"/>
      <w:r w:rsidRPr="00870D9A">
        <w:rPr>
          <w:lang w:val="fr-FR"/>
        </w:rPr>
        <w:t>) de la Cour de cassation est intervenue en 2009, avec les arrêts n</w:t>
      </w:r>
      <w:r w:rsidRPr="00870D9A">
        <w:rPr>
          <w:vertAlign w:val="superscript"/>
          <w:lang w:val="fr-FR"/>
        </w:rPr>
        <w:t>os</w:t>
      </w:r>
      <w:r w:rsidRPr="00870D9A">
        <w:rPr>
          <w:lang w:val="fr-FR"/>
        </w:rPr>
        <w:t xml:space="preserve"> 27348 et 27365, pour résoudre le conflit et harmoniser la jurisprudence en la matière. Dans les passages principaux des arrêts mentionnés, l</w:t>
      </w:r>
      <w:r w:rsidR="00870D9A" w:rsidRPr="00870D9A">
        <w:rPr>
          <w:lang w:val="fr-FR"/>
        </w:rPr>
        <w:t>’</w:t>
      </w:r>
      <w:r w:rsidRPr="00870D9A">
        <w:rPr>
          <w:lang w:val="fr-FR"/>
        </w:rPr>
        <w:t>Assemblée plénière a jugé que :</w:t>
      </w:r>
    </w:p>
    <w:p w:rsidR="00FB28EF" w:rsidRPr="00870D9A" w:rsidRDefault="00FB28EF" w:rsidP="00870D9A">
      <w:pPr>
        <w:pStyle w:val="ECHRParaQuote"/>
        <w:rPr>
          <w:lang w:val="fr-FR"/>
        </w:rPr>
      </w:pPr>
      <w:proofErr w:type="gramStart"/>
      <w:r w:rsidRPr="00870D9A">
        <w:rPr>
          <w:lang w:val="fr-FR"/>
        </w:rPr>
        <w:t>« On ne peut non plus considérer comme exacte l</w:t>
      </w:r>
      <w:r w:rsidR="00870D9A" w:rsidRPr="00870D9A">
        <w:rPr>
          <w:lang w:val="fr-FR"/>
        </w:rPr>
        <w:t>’</w:t>
      </w:r>
      <w:r w:rsidRPr="00870D9A">
        <w:rPr>
          <w:lang w:val="fr-FR"/>
        </w:rPr>
        <w:t>allégation de la requérante selon laquelle la Cour de Strasbourg, en interprétant la CEDH, a élaboré une notion de « procès équitable » qui impliquerait que la procédure au fond et la procédure d</w:t>
      </w:r>
      <w:r w:rsidR="00870D9A" w:rsidRPr="00870D9A">
        <w:rPr>
          <w:lang w:val="fr-FR"/>
        </w:rPr>
        <w:t>’</w:t>
      </w:r>
      <w:r w:rsidRPr="00870D9A">
        <w:rPr>
          <w:lang w:val="fr-FR"/>
        </w:rPr>
        <w:t>exécution – qui n</w:t>
      </w:r>
      <w:r w:rsidR="00870D9A" w:rsidRPr="00870D9A">
        <w:rPr>
          <w:lang w:val="fr-FR"/>
        </w:rPr>
        <w:t>’</w:t>
      </w:r>
      <w:r w:rsidRPr="00870D9A">
        <w:rPr>
          <w:lang w:val="fr-FR"/>
        </w:rPr>
        <w:t>est qu</w:t>
      </w:r>
      <w:r w:rsidR="00870D9A" w:rsidRPr="00870D9A">
        <w:rPr>
          <w:lang w:val="fr-FR"/>
        </w:rPr>
        <w:t>’</w:t>
      </w:r>
      <w:r w:rsidRPr="00870D9A">
        <w:rPr>
          <w:lang w:val="fr-FR"/>
        </w:rPr>
        <w:t>éventuelle – soient toujours considérées comme une seule et même procédure ou comme formant deux phases du « même » procès (article 4 de la loi n</w:t>
      </w:r>
      <w:r w:rsidRPr="00870D9A">
        <w:rPr>
          <w:vertAlign w:val="superscript"/>
          <w:lang w:val="fr-FR"/>
        </w:rPr>
        <w:t>o</w:t>
      </w:r>
      <w:r w:rsidRPr="00870D9A">
        <w:rPr>
          <w:lang w:val="fr-FR"/>
        </w:rPr>
        <w:t xml:space="preserve"> 89 de 2001, relatif aux « droits et obligations de caractère civil » (article 6 de la Convention), afin que soit prise en compte leur durée globale et, donc, que soit considérée comme admissible la demande de satisfaction équitable présentée pendant </w:t>
      </w:r>
      <w:r w:rsidRPr="00870D9A">
        <w:rPr>
          <w:lang w:val="fr-FR"/>
        </w:rPr>
        <w:lastRenderedPageBreak/>
        <w:t>la procédure d</w:t>
      </w:r>
      <w:r w:rsidR="00870D9A" w:rsidRPr="00870D9A">
        <w:rPr>
          <w:lang w:val="fr-FR"/>
        </w:rPr>
        <w:t>’</w:t>
      </w:r>
      <w:r w:rsidRPr="00870D9A">
        <w:rPr>
          <w:lang w:val="fr-FR"/>
        </w:rPr>
        <w:t>exécution ou dans un délai de six mois à compter de la décision du juge de l</w:t>
      </w:r>
      <w:r w:rsidR="00870D9A" w:rsidRPr="00870D9A">
        <w:rPr>
          <w:lang w:val="fr-FR"/>
        </w:rPr>
        <w:t>’</w:t>
      </w:r>
      <w:r w:rsidRPr="00870D9A">
        <w:rPr>
          <w:lang w:val="fr-FR"/>
        </w:rPr>
        <w:t>exécution mettant fin au procès, aux termes de l</w:t>
      </w:r>
      <w:r w:rsidR="00870D9A" w:rsidRPr="00870D9A">
        <w:rPr>
          <w:lang w:val="fr-FR"/>
        </w:rPr>
        <w:t>’</w:t>
      </w:r>
      <w:r w:rsidRPr="00870D9A">
        <w:rPr>
          <w:lang w:val="fr-FR"/>
        </w:rPr>
        <w:t>article 4 de la [« loi Pinto »] précitée, ou à compter de la « décision interne définitive » au sens de l</w:t>
      </w:r>
      <w:r w:rsidR="00870D9A" w:rsidRPr="00870D9A">
        <w:rPr>
          <w:lang w:val="fr-FR"/>
        </w:rPr>
        <w:t>’</w:t>
      </w:r>
      <w:r w:rsidRPr="00870D9A">
        <w:rPr>
          <w:lang w:val="fr-FR"/>
        </w:rPr>
        <w:t>article 35 de la Convention.</w:t>
      </w:r>
      <w:proofErr w:type="gramEnd"/>
    </w:p>
    <w:p w:rsidR="00AE4277" w:rsidRPr="00870D9A" w:rsidRDefault="00FB28EF" w:rsidP="00870D9A">
      <w:pPr>
        <w:pStyle w:val="ECHRParaQuote"/>
        <w:rPr>
          <w:lang w:val="fr-FR"/>
        </w:rPr>
      </w:pPr>
      <w:r w:rsidRPr="00870D9A">
        <w:rPr>
          <w:lang w:val="fr-FR"/>
        </w:rPr>
        <w:t>Si une telle interprétation supranationale avait été admise, notre Cour [de cassation] aurait dû respecter l</w:t>
      </w:r>
      <w:r w:rsidR="00870D9A" w:rsidRPr="00870D9A">
        <w:rPr>
          <w:lang w:val="fr-FR"/>
        </w:rPr>
        <w:t>’</w:t>
      </w:r>
      <w:r w:rsidRPr="00870D9A">
        <w:rPr>
          <w:lang w:val="fr-FR"/>
        </w:rPr>
        <w:t>interprétation des juges supranationaux (arrêts SS.UU. n</w:t>
      </w:r>
      <w:r w:rsidRPr="00870D9A">
        <w:rPr>
          <w:vertAlign w:val="superscript"/>
          <w:lang w:val="fr-FR"/>
        </w:rPr>
        <w:t>os</w:t>
      </w:r>
      <w:r w:rsidRPr="00870D9A">
        <w:rPr>
          <w:lang w:val="fr-FR"/>
        </w:rPr>
        <w:t xml:space="preserve"> 1138 et 1339 de 2004) afin de répondre à l</w:t>
      </w:r>
      <w:r w:rsidR="00870D9A" w:rsidRPr="00870D9A">
        <w:rPr>
          <w:lang w:val="fr-FR"/>
        </w:rPr>
        <w:t>’</w:t>
      </w:r>
      <w:r w:rsidRPr="00870D9A">
        <w:rPr>
          <w:lang w:val="fr-FR"/>
        </w:rPr>
        <w:t>exigence de conformité aux obligations juridiques internationales à laquelle sont soumis le législateur (article 117 de la Constitution) et les juges des États parties [à la Convention].</w:t>
      </w:r>
    </w:p>
    <w:p w:rsidR="00FB28EF" w:rsidRPr="00870D9A" w:rsidRDefault="00FB28EF" w:rsidP="00870D9A">
      <w:pPr>
        <w:pStyle w:val="ECHRParaQuote"/>
        <w:rPr>
          <w:lang w:val="fr-FR"/>
        </w:rPr>
      </w:pPr>
      <w:r w:rsidRPr="00870D9A">
        <w:rPr>
          <w:lang w:val="fr-FR"/>
        </w:rPr>
        <w:t>(...) la Cour européenne [des droits de l</w:t>
      </w:r>
      <w:r w:rsidR="00870D9A" w:rsidRPr="00870D9A">
        <w:rPr>
          <w:lang w:val="fr-FR"/>
        </w:rPr>
        <w:t>’</w:t>
      </w:r>
      <w:r w:rsidRPr="00870D9A">
        <w:rPr>
          <w:lang w:val="fr-FR"/>
        </w:rPr>
        <w:t>homme] n</w:t>
      </w:r>
      <w:r w:rsidR="00870D9A" w:rsidRPr="00870D9A">
        <w:rPr>
          <w:lang w:val="fr-FR"/>
        </w:rPr>
        <w:t>’</w:t>
      </w:r>
      <w:r w:rsidRPr="00870D9A">
        <w:rPr>
          <w:lang w:val="fr-FR"/>
        </w:rPr>
        <w:t>a jamais affirmé ce que soutient la requérante.</w:t>
      </w:r>
    </w:p>
    <w:p w:rsidR="00FB28EF" w:rsidRPr="00870D9A" w:rsidRDefault="00FB28EF" w:rsidP="00870D9A">
      <w:pPr>
        <w:pStyle w:val="ECHRParaQuote"/>
        <w:rPr>
          <w:lang w:val="fr-FR"/>
        </w:rPr>
      </w:pPr>
      <w:proofErr w:type="gramStart"/>
      <w:r w:rsidRPr="00870D9A">
        <w:rPr>
          <w:lang w:val="fr-FR"/>
        </w:rPr>
        <w:t>En réalité, le principe du droit à un recours effectif énoncé par l</w:t>
      </w:r>
      <w:r w:rsidR="00870D9A" w:rsidRPr="00870D9A">
        <w:rPr>
          <w:lang w:val="fr-FR"/>
        </w:rPr>
        <w:t>’</w:t>
      </w:r>
      <w:r w:rsidRPr="00870D9A">
        <w:rPr>
          <w:lang w:val="fr-FR"/>
        </w:rPr>
        <w:t>article 13 de la Convention impose aux États membres l</w:t>
      </w:r>
      <w:r w:rsidR="00870D9A" w:rsidRPr="00870D9A">
        <w:rPr>
          <w:lang w:val="fr-FR"/>
        </w:rPr>
        <w:t>’</w:t>
      </w:r>
      <w:r w:rsidRPr="00870D9A">
        <w:rPr>
          <w:lang w:val="fr-FR"/>
        </w:rPr>
        <w:t>adoption de remèdes internes afin de garantir le redressement de violations de droits garantis par la Convention, par le biais, notamment, de procédures d</w:t>
      </w:r>
      <w:r w:rsidR="00870D9A" w:rsidRPr="00870D9A">
        <w:rPr>
          <w:lang w:val="fr-FR"/>
        </w:rPr>
        <w:t>’</w:t>
      </w:r>
      <w:r w:rsidRPr="00870D9A">
        <w:rPr>
          <w:lang w:val="fr-FR"/>
        </w:rPr>
        <w:t>indemnisation, dont la durée doit être calculée à partir de l</w:t>
      </w:r>
      <w:r w:rsidR="00870D9A" w:rsidRPr="00870D9A">
        <w:rPr>
          <w:lang w:val="fr-FR"/>
        </w:rPr>
        <w:t>’</w:t>
      </w:r>
      <w:r w:rsidRPr="00870D9A">
        <w:rPr>
          <w:lang w:val="fr-FR"/>
        </w:rPr>
        <w:t>introduction de la demande jusqu</w:t>
      </w:r>
      <w:r w:rsidR="00870D9A" w:rsidRPr="00870D9A">
        <w:rPr>
          <w:lang w:val="fr-FR"/>
        </w:rPr>
        <w:t>’</w:t>
      </w:r>
      <w:r w:rsidRPr="00870D9A">
        <w:rPr>
          <w:lang w:val="fr-FR"/>
        </w:rPr>
        <w:t>à l</w:t>
      </w:r>
      <w:r w:rsidR="00870D9A" w:rsidRPr="00870D9A">
        <w:rPr>
          <w:lang w:val="fr-FR"/>
        </w:rPr>
        <w:t>’</w:t>
      </w:r>
      <w:r w:rsidRPr="00870D9A">
        <w:rPr>
          <w:lang w:val="fr-FR"/>
        </w:rPr>
        <w:t>exécution de la décision du juge ; ce principe (...) n</w:t>
      </w:r>
      <w:r w:rsidR="00870D9A" w:rsidRPr="00870D9A">
        <w:rPr>
          <w:lang w:val="fr-FR"/>
        </w:rPr>
        <w:t>’</w:t>
      </w:r>
      <w:r w:rsidRPr="00870D9A">
        <w:rPr>
          <w:lang w:val="fr-FR"/>
        </w:rPr>
        <w:t>implique pas d</w:t>
      </w:r>
      <w:r w:rsidR="00870D9A" w:rsidRPr="00870D9A">
        <w:rPr>
          <w:lang w:val="fr-FR"/>
        </w:rPr>
        <w:t>’</w:t>
      </w:r>
      <w:r w:rsidRPr="00870D9A">
        <w:rPr>
          <w:lang w:val="fr-FR"/>
        </w:rPr>
        <w:t>examiner chaque procédure au fond et chaque procédure d</w:t>
      </w:r>
      <w:r w:rsidR="00870D9A" w:rsidRPr="00870D9A">
        <w:rPr>
          <w:lang w:val="fr-FR"/>
        </w:rPr>
        <w:t>’</w:t>
      </w:r>
      <w:r w:rsidRPr="00870D9A">
        <w:rPr>
          <w:lang w:val="fr-FR"/>
        </w:rPr>
        <w:t>exécution y relative en considérant qu</w:t>
      </w:r>
      <w:r w:rsidR="00870D9A" w:rsidRPr="00870D9A">
        <w:rPr>
          <w:lang w:val="fr-FR"/>
        </w:rPr>
        <w:t>’</w:t>
      </w:r>
      <w:r w:rsidRPr="00870D9A">
        <w:rPr>
          <w:lang w:val="fr-FR"/>
        </w:rPr>
        <w:t>elles ne font qu</w:t>
      </w:r>
      <w:r w:rsidR="00870D9A" w:rsidRPr="00870D9A">
        <w:rPr>
          <w:lang w:val="fr-FR"/>
        </w:rPr>
        <w:t>’</w:t>
      </w:r>
      <w:r w:rsidRPr="00870D9A">
        <w:rPr>
          <w:lang w:val="fr-FR"/>
        </w:rPr>
        <w:t>une.</w:t>
      </w:r>
      <w:proofErr w:type="gramEnd"/>
    </w:p>
    <w:p w:rsidR="00FB28EF" w:rsidRPr="00870D9A" w:rsidRDefault="00FB28EF" w:rsidP="00870D9A">
      <w:pPr>
        <w:pStyle w:val="ECHRParaQuote"/>
        <w:rPr>
          <w:lang w:val="fr-FR"/>
        </w:rPr>
      </w:pPr>
      <w:proofErr w:type="gramStart"/>
      <w:r w:rsidRPr="00870D9A">
        <w:rPr>
          <w:lang w:val="fr-FR"/>
        </w:rPr>
        <w:t>Lorsqu</w:t>
      </w:r>
      <w:r w:rsidR="00870D9A" w:rsidRPr="00870D9A">
        <w:rPr>
          <w:lang w:val="fr-FR"/>
        </w:rPr>
        <w:t>’</w:t>
      </w:r>
      <w:r w:rsidRPr="00870D9A">
        <w:rPr>
          <w:lang w:val="fr-FR"/>
        </w:rPr>
        <w:t>elle est saisie par des requérants qui se plaignent de l</w:t>
      </w:r>
      <w:r w:rsidR="00870D9A" w:rsidRPr="00870D9A">
        <w:rPr>
          <w:lang w:val="fr-FR"/>
        </w:rPr>
        <w:t>’</w:t>
      </w:r>
      <w:r w:rsidRPr="00870D9A">
        <w:rPr>
          <w:lang w:val="fr-FR"/>
        </w:rPr>
        <w:t>ineffectivité des remèdes internes, en raison du retard ou du défaut de versement du montant accordé dans le cadre du remède interne créé pour redresser la violation d</w:t>
      </w:r>
      <w:r w:rsidR="00870D9A" w:rsidRPr="00870D9A">
        <w:rPr>
          <w:lang w:val="fr-FR"/>
        </w:rPr>
        <w:t>’</w:t>
      </w:r>
      <w:r w:rsidRPr="00870D9A">
        <w:rPr>
          <w:lang w:val="fr-FR"/>
        </w:rPr>
        <w:t>un droit protégé par la Convention, la Cour de Strasbourg considère ensemble la durée de la procédure au fond qui statue sur le droit au redressement et la durée de la procédure d</w:t>
      </w:r>
      <w:r w:rsidR="00870D9A" w:rsidRPr="00870D9A">
        <w:rPr>
          <w:lang w:val="fr-FR"/>
        </w:rPr>
        <w:t>’</w:t>
      </w:r>
      <w:r w:rsidRPr="00870D9A">
        <w:rPr>
          <w:lang w:val="fr-FR"/>
        </w:rPr>
        <w:t xml:space="preserve">exécution (...) qui se termine au moment du versement, même partiel, du montant fixé par le juge du fond, moment à considérer comme le </w:t>
      </w:r>
      <w:r w:rsidRPr="00870D9A">
        <w:rPr>
          <w:i/>
          <w:lang w:val="fr-FR"/>
        </w:rPr>
        <w:t>dies a quo</w:t>
      </w:r>
      <w:r w:rsidRPr="00870D9A">
        <w:rPr>
          <w:lang w:val="fr-FR"/>
        </w:rPr>
        <w:t xml:space="preserve"> du délai de six mois requis pour le dépôt d</w:t>
      </w:r>
      <w:r w:rsidR="00870D9A" w:rsidRPr="00870D9A">
        <w:rPr>
          <w:lang w:val="fr-FR"/>
        </w:rPr>
        <w:t>’</w:t>
      </w:r>
      <w:r w:rsidRPr="00870D9A">
        <w:rPr>
          <w:lang w:val="fr-FR"/>
        </w:rPr>
        <w:t xml:space="preserve">une requête devant elle (voir CEDH, Grande Chambre, 31 mars 2009, </w:t>
      </w:r>
      <w:proofErr w:type="spellStart"/>
      <w:r w:rsidRPr="00870D9A">
        <w:rPr>
          <w:i/>
          <w:lang w:val="fr-FR"/>
        </w:rPr>
        <w:t>Simaldone</w:t>
      </w:r>
      <w:proofErr w:type="spellEnd"/>
      <w:r w:rsidRPr="00870D9A">
        <w:rPr>
          <w:i/>
          <w:lang w:val="fr-FR"/>
        </w:rPr>
        <w:t xml:space="preserve"> c. Italie</w:t>
      </w:r>
      <w:r w:rsidRPr="00870D9A">
        <w:rPr>
          <w:lang w:val="fr-FR"/>
        </w:rPr>
        <w:t>, n</w:t>
      </w:r>
      <w:r w:rsidRPr="00870D9A">
        <w:rPr>
          <w:vertAlign w:val="superscript"/>
          <w:lang w:val="fr-FR"/>
        </w:rPr>
        <w:t>o</w:t>
      </w:r>
      <w:r w:rsidRPr="00870D9A">
        <w:rPr>
          <w:lang w:val="fr-FR"/>
        </w:rPr>
        <w:t xml:space="preserve"> 22644/03 ; </w:t>
      </w:r>
      <w:proofErr w:type="spellStart"/>
      <w:r w:rsidRPr="00870D9A">
        <w:rPr>
          <w:i/>
          <w:lang w:val="fr-FR"/>
        </w:rPr>
        <w:t>Scordino</w:t>
      </w:r>
      <w:proofErr w:type="spellEnd"/>
      <w:r w:rsidRPr="00870D9A">
        <w:rPr>
          <w:i/>
          <w:lang w:val="fr-FR"/>
        </w:rPr>
        <w:t xml:space="preserve"> c. Italie</w:t>
      </w:r>
      <w:r w:rsidRPr="00870D9A">
        <w:rPr>
          <w:lang w:val="fr-FR"/>
        </w:rPr>
        <w:t>, 29 mars 2006, n</w:t>
      </w:r>
      <w:r w:rsidRPr="00870D9A">
        <w:rPr>
          <w:vertAlign w:val="superscript"/>
          <w:lang w:val="fr-FR"/>
        </w:rPr>
        <w:t>o</w:t>
      </w:r>
      <w:r w:rsidR="00BC7129" w:rsidRPr="00870D9A">
        <w:rPr>
          <w:vertAlign w:val="superscript"/>
          <w:lang w:val="fr-FR"/>
        </w:rPr>
        <w:t> </w:t>
      </w:r>
      <w:r w:rsidRPr="00870D9A">
        <w:rPr>
          <w:lang w:val="fr-FR"/>
        </w:rPr>
        <w:t xml:space="preserve"> 36813/97 – examiné avec neuf affaires sur l</w:t>
      </w:r>
      <w:r w:rsidR="00870D9A" w:rsidRPr="00870D9A">
        <w:rPr>
          <w:lang w:val="fr-FR"/>
        </w:rPr>
        <w:t>’</w:t>
      </w:r>
      <w:r w:rsidRPr="00870D9A">
        <w:rPr>
          <w:lang w:val="fr-FR"/>
        </w:rPr>
        <w:t>effectivité du remède interne prévu par la loi n</w:t>
      </w:r>
      <w:r w:rsidRPr="00870D9A">
        <w:rPr>
          <w:vertAlign w:val="superscript"/>
          <w:lang w:val="fr-FR"/>
        </w:rPr>
        <w:t>o</w:t>
      </w:r>
      <w:r w:rsidRPr="00870D9A">
        <w:rPr>
          <w:lang w:val="fr-FR"/>
        </w:rPr>
        <w:t xml:space="preserve"> 89 de 2001 ; voir aussi, pour d</w:t>
      </w:r>
      <w:r w:rsidR="00870D9A" w:rsidRPr="00870D9A">
        <w:rPr>
          <w:lang w:val="fr-FR"/>
        </w:rPr>
        <w:t>’</w:t>
      </w:r>
      <w:r w:rsidRPr="00870D9A">
        <w:rPr>
          <w:lang w:val="fr-FR"/>
        </w:rPr>
        <w:t xml:space="preserve">autres États, </w:t>
      </w:r>
      <w:proofErr w:type="spellStart"/>
      <w:r w:rsidRPr="00870D9A">
        <w:rPr>
          <w:i/>
          <w:lang w:val="fr-FR"/>
        </w:rPr>
        <w:t>Bourdov</w:t>
      </w:r>
      <w:proofErr w:type="spellEnd"/>
      <w:r w:rsidRPr="00870D9A">
        <w:rPr>
          <w:i/>
          <w:lang w:val="fr-FR"/>
        </w:rPr>
        <w:t xml:space="preserve"> c. Russie</w:t>
      </w:r>
      <w:r w:rsidRPr="00870D9A">
        <w:rPr>
          <w:lang w:val="fr-FR"/>
        </w:rPr>
        <w:t>, 7 mai 2002, n</w:t>
      </w:r>
      <w:r w:rsidRPr="00870D9A">
        <w:rPr>
          <w:vertAlign w:val="superscript"/>
          <w:lang w:val="fr-FR"/>
        </w:rPr>
        <w:t>o</w:t>
      </w:r>
      <w:r w:rsidRPr="00870D9A">
        <w:rPr>
          <w:lang w:val="fr-FR"/>
        </w:rPr>
        <w:t xml:space="preserve"> 59498/95, sur l</w:t>
      </w:r>
      <w:r w:rsidR="00870D9A" w:rsidRPr="00870D9A">
        <w:rPr>
          <w:lang w:val="fr-FR"/>
        </w:rPr>
        <w:t>’</w:t>
      </w:r>
      <w:r w:rsidRPr="00870D9A">
        <w:rPr>
          <w:lang w:val="fr-FR"/>
        </w:rPr>
        <w:t>action en indemnisation de victimes d</w:t>
      </w:r>
      <w:r w:rsidR="00870D9A" w:rsidRPr="00870D9A">
        <w:rPr>
          <w:lang w:val="fr-FR"/>
        </w:rPr>
        <w:t>’</w:t>
      </w:r>
      <w:r w:rsidRPr="00870D9A">
        <w:rPr>
          <w:lang w:val="fr-FR"/>
        </w:rPr>
        <w:t>un grave accident nucléaire).</w:t>
      </w:r>
      <w:proofErr w:type="gramEnd"/>
    </w:p>
    <w:p w:rsidR="00FB28EF" w:rsidRPr="00870D9A" w:rsidRDefault="00FB28EF" w:rsidP="00870D9A">
      <w:pPr>
        <w:pStyle w:val="ECHRParaQuote"/>
        <w:rPr>
          <w:lang w:val="fr-FR"/>
        </w:rPr>
      </w:pPr>
      <w:proofErr w:type="gramStart"/>
      <w:r w:rsidRPr="00870D9A">
        <w:rPr>
          <w:lang w:val="fr-FR"/>
        </w:rPr>
        <w:t>Dans les arrêts cités, parmi beaucoup d</w:t>
      </w:r>
      <w:r w:rsidR="00870D9A" w:rsidRPr="00870D9A">
        <w:rPr>
          <w:lang w:val="fr-FR"/>
        </w:rPr>
        <w:t>’</w:t>
      </w:r>
      <w:r w:rsidRPr="00870D9A">
        <w:rPr>
          <w:lang w:val="fr-FR"/>
        </w:rPr>
        <w:t>autres, il est dit que, eu égard au principe d</w:t>
      </w:r>
      <w:r w:rsidR="00870D9A" w:rsidRPr="00870D9A">
        <w:rPr>
          <w:lang w:val="fr-FR"/>
        </w:rPr>
        <w:t>’</w:t>
      </w:r>
      <w:r w:rsidRPr="00870D9A">
        <w:rPr>
          <w:lang w:val="fr-FR"/>
        </w:rPr>
        <w:t>effectivité, l</w:t>
      </w:r>
      <w:r w:rsidR="00870D9A" w:rsidRPr="00870D9A">
        <w:rPr>
          <w:lang w:val="fr-FR"/>
        </w:rPr>
        <w:t>’</w:t>
      </w:r>
      <w:r w:rsidRPr="00870D9A">
        <w:rPr>
          <w:lang w:val="fr-FR"/>
        </w:rPr>
        <w:t>exécution d</w:t>
      </w:r>
      <w:r w:rsidR="00870D9A" w:rsidRPr="00870D9A">
        <w:rPr>
          <w:lang w:val="fr-FR"/>
        </w:rPr>
        <w:t>’</w:t>
      </w:r>
      <w:r w:rsidRPr="00870D9A">
        <w:rPr>
          <w:lang w:val="fr-FR"/>
        </w:rPr>
        <w:t>un jugement doit être considérée comme faisant partie intégrante du procès pour éviter que la lenteur excessive du recours indemnitaire n</w:t>
      </w:r>
      <w:r w:rsidR="00870D9A" w:rsidRPr="00870D9A">
        <w:rPr>
          <w:lang w:val="fr-FR"/>
        </w:rPr>
        <w:t>’</w:t>
      </w:r>
      <w:r w:rsidRPr="00870D9A">
        <w:rPr>
          <w:lang w:val="fr-FR"/>
        </w:rPr>
        <w:t>en affecte le caractère adéquat (</w:t>
      </w:r>
      <w:proofErr w:type="spellStart"/>
      <w:r w:rsidRPr="00870D9A">
        <w:rPr>
          <w:i/>
          <w:lang w:val="fr-FR"/>
        </w:rPr>
        <w:t>Scordino</w:t>
      </w:r>
      <w:proofErr w:type="spellEnd"/>
      <w:r w:rsidRPr="00870D9A">
        <w:rPr>
          <w:i/>
          <w:lang w:val="fr-FR"/>
        </w:rPr>
        <w:t xml:space="preserve"> c. Italie</w:t>
      </w:r>
      <w:r w:rsidRPr="00870D9A">
        <w:rPr>
          <w:lang w:val="fr-FR"/>
        </w:rPr>
        <w:t>, 29 mars 2006, n</w:t>
      </w:r>
      <w:r w:rsidRPr="00870D9A">
        <w:rPr>
          <w:vertAlign w:val="superscript"/>
          <w:lang w:val="fr-FR"/>
        </w:rPr>
        <w:t>o</w:t>
      </w:r>
      <w:r w:rsidRPr="00870D9A">
        <w:rPr>
          <w:lang w:val="fr-FR"/>
        </w:rPr>
        <w:t xml:space="preserve"> 36813/97, §</w:t>
      </w:r>
      <w:r w:rsidR="00BC7129" w:rsidRPr="00870D9A">
        <w:rPr>
          <w:lang w:val="fr-FR"/>
        </w:rPr>
        <w:t> </w:t>
      </w:r>
      <w:r w:rsidRPr="00870D9A">
        <w:rPr>
          <w:lang w:val="fr-FR"/>
        </w:rPr>
        <w:t xml:space="preserve"> 195) et elle doit englober l</w:t>
      </w:r>
      <w:r w:rsidR="00870D9A" w:rsidRPr="00870D9A">
        <w:rPr>
          <w:lang w:val="fr-FR"/>
        </w:rPr>
        <w:t>’</w:t>
      </w:r>
      <w:r w:rsidRPr="00870D9A">
        <w:rPr>
          <w:lang w:val="fr-FR"/>
        </w:rPr>
        <w:t>action indemnitaire interne de réparation du préjudice découlant de la violation des droits reconnus par la Convention ; le principe est donc dépourvu de portée générale (...) »</w:t>
      </w:r>
      <w:proofErr w:type="gramEnd"/>
    </w:p>
    <w:bookmarkStart w:id="5" w:name="JURISPRUDENCE_CASSATION_SEPARATION"/>
    <w:p w:rsidR="00FB28EF" w:rsidRPr="00870D9A" w:rsidRDefault="00FB28EF"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22</w:t>
      </w:r>
      <w:r w:rsidRPr="00870D9A">
        <w:rPr>
          <w:lang w:val="fr-FR"/>
        </w:rPr>
        <w:fldChar w:fldCharType="end"/>
      </w:r>
      <w:bookmarkEnd w:id="5"/>
      <w:r w:rsidRPr="00870D9A">
        <w:rPr>
          <w:lang w:val="fr-FR"/>
        </w:rPr>
        <w:t>.  Pour ce qui est du contentieux civil, la Cour de cassation a jugé, dans un premier temps, que la procédure au fond et la procédure d</w:t>
      </w:r>
      <w:r w:rsidR="00870D9A" w:rsidRPr="00870D9A">
        <w:rPr>
          <w:lang w:val="fr-FR"/>
        </w:rPr>
        <w:t>’</w:t>
      </w:r>
      <w:r w:rsidRPr="00870D9A">
        <w:rPr>
          <w:lang w:val="fr-FR"/>
        </w:rPr>
        <w:t>exécution devaient être considérées séparément, compte tenu de leur caractère autonome et de la fonction spécifique de chacune (voir, parmi beaucoup d</w:t>
      </w:r>
      <w:r w:rsidR="00870D9A" w:rsidRPr="00870D9A">
        <w:rPr>
          <w:lang w:val="fr-FR"/>
        </w:rPr>
        <w:t>’</w:t>
      </w:r>
      <w:r w:rsidRPr="00870D9A">
        <w:rPr>
          <w:lang w:val="fr-FR"/>
        </w:rPr>
        <w:t>autres, les arrêts n</w:t>
      </w:r>
      <w:r w:rsidRPr="00870D9A">
        <w:rPr>
          <w:vertAlign w:val="superscript"/>
          <w:lang w:val="fr-FR"/>
        </w:rPr>
        <w:t>os</w:t>
      </w:r>
      <w:r w:rsidRPr="00870D9A">
        <w:rPr>
          <w:lang w:val="fr-FR"/>
        </w:rPr>
        <w:t xml:space="preserve"> 25529/2006, 25806/2007, 19573/2008, 5536/2010 et </w:t>
      </w:r>
      <w:r w:rsidR="002D1806" w:rsidRPr="00870D9A">
        <w:rPr>
          <w:lang w:val="fr-FR"/>
        </w:rPr>
        <w:t>l</w:t>
      </w:r>
      <w:r w:rsidR="00870D9A" w:rsidRPr="00870D9A">
        <w:rPr>
          <w:lang w:val="fr-FR"/>
        </w:rPr>
        <w:t>’</w:t>
      </w:r>
      <w:r w:rsidR="002D1806" w:rsidRPr="00870D9A">
        <w:rPr>
          <w:lang w:val="fr-FR"/>
        </w:rPr>
        <w:t>ordonnance n</w:t>
      </w:r>
      <w:r w:rsidR="00AE4277" w:rsidRPr="00870D9A">
        <w:rPr>
          <w:vertAlign w:val="superscript"/>
          <w:lang w:val="fr-FR"/>
        </w:rPr>
        <w:t>o</w:t>
      </w:r>
      <w:r w:rsidR="002D1806" w:rsidRPr="00870D9A">
        <w:rPr>
          <w:lang w:val="fr-FR"/>
        </w:rPr>
        <w:t xml:space="preserve"> </w:t>
      </w:r>
      <w:r w:rsidRPr="00870D9A">
        <w:rPr>
          <w:lang w:val="fr-FR"/>
        </w:rPr>
        <w:t>8256/2011).</w:t>
      </w:r>
    </w:p>
    <w:bookmarkStart w:id="6" w:name="REVIREMENT_JURISPRUDENCE"/>
    <w:p w:rsidR="00FB28EF" w:rsidRPr="00870D9A" w:rsidRDefault="00FB28EF"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23</w:t>
      </w:r>
      <w:r w:rsidRPr="00870D9A">
        <w:rPr>
          <w:lang w:val="fr-FR"/>
        </w:rPr>
        <w:fldChar w:fldCharType="end"/>
      </w:r>
      <w:bookmarkEnd w:id="6"/>
      <w:r w:rsidRPr="00870D9A">
        <w:rPr>
          <w:lang w:val="fr-FR"/>
        </w:rPr>
        <w:t>.  En revenant sur sa jurisprudence, en mars 2014 (arrêt n</w:t>
      </w:r>
      <w:r w:rsidRPr="00870D9A">
        <w:rPr>
          <w:vertAlign w:val="superscript"/>
          <w:lang w:val="fr-FR"/>
        </w:rPr>
        <w:t>o</w:t>
      </w:r>
      <w:r w:rsidRPr="00870D9A">
        <w:rPr>
          <w:lang w:val="fr-FR"/>
        </w:rPr>
        <w:t xml:space="preserve"> 6312/2014) l</w:t>
      </w:r>
      <w:r w:rsidR="00870D9A" w:rsidRPr="00870D9A">
        <w:rPr>
          <w:lang w:val="fr-FR"/>
        </w:rPr>
        <w:t>’</w:t>
      </w:r>
      <w:r w:rsidRPr="00870D9A">
        <w:rPr>
          <w:lang w:val="fr-FR"/>
        </w:rPr>
        <w:t>Assemblée plénière de la Cour de cassation s</w:t>
      </w:r>
      <w:r w:rsidR="00870D9A" w:rsidRPr="00870D9A">
        <w:rPr>
          <w:lang w:val="fr-FR"/>
        </w:rPr>
        <w:t>’</w:t>
      </w:r>
      <w:r w:rsidRPr="00870D9A">
        <w:rPr>
          <w:lang w:val="fr-FR"/>
        </w:rPr>
        <w:t xml:space="preserve">est exprimée à nouveau en la matière. Dans </w:t>
      </w:r>
      <w:r w:rsidR="006737A0" w:rsidRPr="00870D9A">
        <w:rPr>
          <w:lang w:val="fr-FR"/>
        </w:rPr>
        <w:t>ce</w:t>
      </w:r>
      <w:r w:rsidRPr="00870D9A">
        <w:rPr>
          <w:lang w:val="fr-FR"/>
        </w:rPr>
        <w:t xml:space="preserve"> revirement, elle s</w:t>
      </w:r>
      <w:r w:rsidR="00870D9A" w:rsidRPr="00870D9A">
        <w:rPr>
          <w:lang w:val="fr-FR"/>
        </w:rPr>
        <w:t>’</w:t>
      </w:r>
      <w:r w:rsidRPr="00870D9A">
        <w:rPr>
          <w:lang w:val="fr-FR"/>
        </w:rPr>
        <w:t>est prononcée en faveur d</w:t>
      </w:r>
      <w:r w:rsidR="00870D9A" w:rsidRPr="00870D9A">
        <w:rPr>
          <w:lang w:val="fr-FR"/>
        </w:rPr>
        <w:t>’</w:t>
      </w:r>
      <w:r w:rsidRPr="00870D9A">
        <w:rPr>
          <w:lang w:val="fr-FR"/>
        </w:rPr>
        <w:t>une approche globale qui considère la procédure au fond et celle, éventuelle, d</w:t>
      </w:r>
      <w:r w:rsidR="00870D9A" w:rsidRPr="00870D9A">
        <w:rPr>
          <w:lang w:val="fr-FR"/>
        </w:rPr>
        <w:t>’</w:t>
      </w:r>
      <w:r w:rsidRPr="00870D9A">
        <w:rPr>
          <w:lang w:val="fr-FR"/>
        </w:rPr>
        <w:t xml:space="preserve">exécution, </w:t>
      </w:r>
      <w:r w:rsidRPr="00870D9A">
        <w:rPr>
          <w:lang w:val="fr-FR"/>
        </w:rPr>
        <w:lastRenderedPageBreak/>
        <w:t>comme un seul et même « procès ». La Cour de cassation a notamment estimé ce qui suit :</w:t>
      </w:r>
    </w:p>
    <w:p w:rsidR="00FB28EF" w:rsidRPr="00870D9A" w:rsidRDefault="00FB28EF" w:rsidP="00870D9A">
      <w:pPr>
        <w:pStyle w:val="ECHRParaQuote"/>
        <w:rPr>
          <w:lang w:val="fr-FR"/>
        </w:rPr>
      </w:pPr>
      <w:r w:rsidRPr="00870D9A">
        <w:rPr>
          <w:lang w:val="fr-FR"/>
        </w:rPr>
        <w:t>« (</w:t>
      </w:r>
      <w:r w:rsidR="00AE4277" w:rsidRPr="00870D9A">
        <w:rPr>
          <w:lang w:val="fr-FR"/>
        </w:rPr>
        <w:t>...</w:t>
      </w:r>
      <w:r w:rsidRPr="00870D9A">
        <w:rPr>
          <w:lang w:val="fr-FR"/>
        </w:rPr>
        <w:t>) [Il] est nécessaire de s</w:t>
      </w:r>
      <w:r w:rsidR="00870D9A" w:rsidRPr="00870D9A">
        <w:rPr>
          <w:lang w:val="fr-FR"/>
        </w:rPr>
        <w:t>’</w:t>
      </w:r>
      <w:r w:rsidRPr="00870D9A">
        <w:rPr>
          <w:lang w:val="fr-FR"/>
        </w:rPr>
        <w:t>inspirer du principe constitutionnel d</w:t>
      </w:r>
      <w:r w:rsidR="00870D9A" w:rsidRPr="00870D9A">
        <w:rPr>
          <w:lang w:val="fr-FR"/>
        </w:rPr>
        <w:t>’</w:t>
      </w:r>
      <w:r w:rsidRPr="00870D9A">
        <w:rPr>
          <w:lang w:val="fr-FR"/>
        </w:rPr>
        <w:t xml:space="preserve">effectivité de la protection juridictionnelle énoncé aux articles 24, alinéa 1, 111, alinéas 1 et 2, et 113, alinéas 1 et 2, de la Constitution (...). </w:t>
      </w:r>
      <w:proofErr w:type="gramStart"/>
      <w:r w:rsidRPr="00870D9A">
        <w:rPr>
          <w:lang w:val="fr-FR"/>
        </w:rPr>
        <w:t>Le respect de ce principe exige que la protection juridictionnelle ne soit pas réduite au seul droit d</w:t>
      </w:r>
      <w:r w:rsidR="00870D9A" w:rsidRPr="00870D9A">
        <w:rPr>
          <w:lang w:val="fr-FR"/>
        </w:rPr>
        <w:t>’</w:t>
      </w:r>
      <w:r w:rsidRPr="00870D9A">
        <w:rPr>
          <w:lang w:val="fr-FR"/>
        </w:rPr>
        <w:t>accès au juge, garanti à tous, mais qu</w:t>
      </w:r>
      <w:r w:rsidR="00870D9A" w:rsidRPr="00870D9A">
        <w:rPr>
          <w:lang w:val="fr-FR"/>
        </w:rPr>
        <w:t>’</w:t>
      </w:r>
      <w:r w:rsidRPr="00870D9A">
        <w:rPr>
          <w:lang w:val="fr-FR"/>
        </w:rPr>
        <w:t>elle comprenne chaque étape de la procédure prévue dans l</w:t>
      </w:r>
      <w:r w:rsidR="00870D9A" w:rsidRPr="00870D9A">
        <w:rPr>
          <w:lang w:val="fr-FR"/>
        </w:rPr>
        <w:t>’</w:t>
      </w:r>
      <w:r w:rsidRPr="00870D9A">
        <w:rPr>
          <w:lang w:val="fr-FR"/>
        </w:rPr>
        <w:t>ordre interne, même après l</w:t>
      </w:r>
      <w:r w:rsidR="00870D9A" w:rsidRPr="00870D9A">
        <w:rPr>
          <w:lang w:val="fr-FR"/>
        </w:rPr>
        <w:t>’</w:t>
      </w:r>
      <w:r w:rsidRPr="00870D9A">
        <w:rPr>
          <w:lang w:val="fr-FR"/>
        </w:rPr>
        <w:t>introduction de la demande, afin de rendre concrète et effective la protection juridictionnelle des droits (...) et il exige aussi que ces situations juridiques individuelles, portées devant un juge, et définitivement admises par celui-ci, trouvent leur réalisation effective en faveur du titulaire du droit revendiqué et reconnu dans la phase au fond (...)</w:t>
      </w:r>
      <w:proofErr w:type="gramEnd"/>
    </w:p>
    <w:p w:rsidR="00FB28EF" w:rsidRPr="00870D9A" w:rsidRDefault="00FB28EF" w:rsidP="00870D9A">
      <w:pPr>
        <w:pStyle w:val="ECHRParaQuote"/>
        <w:rPr>
          <w:lang w:val="fr-FR"/>
        </w:rPr>
      </w:pPr>
      <w:proofErr w:type="gramStart"/>
      <w:r w:rsidRPr="00870D9A">
        <w:rPr>
          <w:lang w:val="fr-FR"/>
        </w:rPr>
        <w:t>Si, donc, « la prévision d</w:t>
      </w:r>
      <w:r w:rsidR="00870D9A" w:rsidRPr="00870D9A">
        <w:rPr>
          <w:lang w:val="fr-FR"/>
        </w:rPr>
        <w:t>’</w:t>
      </w:r>
      <w:r w:rsidRPr="00870D9A">
        <w:rPr>
          <w:lang w:val="fr-FR"/>
        </w:rPr>
        <w:t>une phase d</w:t>
      </w:r>
      <w:r w:rsidR="00870D9A" w:rsidRPr="00870D9A">
        <w:rPr>
          <w:lang w:val="fr-FR"/>
        </w:rPr>
        <w:t>’</w:t>
      </w:r>
      <w:r w:rsidRPr="00870D9A">
        <w:rPr>
          <w:lang w:val="fr-FR"/>
        </w:rPr>
        <w:t>exécution forcée des décisions de justice, en tant qu</w:t>
      </w:r>
      <w:r w:rsidR="00870D9A" w:rsidRPr="00870D9A">
        <w:rPr>
          <w:lang w:val="fr-FR"/>
        </w:rPr>
        <w:t>’</w:t>
      </w:r>
      <w:r w:rsidRPr="00870D9A">
        <w:rPr>
          <w:lang w:val="fr-FR"/>
        </w:rPr>
        <w:t>élément intrinsèque et essentiel de la fonction juridictionnelle, doit passer pour constitutionnellement nécessaire », dans le système défini aux articles 24, alinéa 1, 111, alinéas 1 et 2, et 113, alinéas 1 et 2, de la Constitution, pour affirmer le principe d</w:t>
      </w:r>
      <w:r w:rsidR="00870D9A" w:rsidRPr="00870D9A">
        <w:rPr>
          <w:lang w:val="fr-FR"/>
        </w:rPr>
        <w:t>’</w:t>
      </w:r>
      <w:r w:rsidRPr="00870D9A">
        <w:rPr>
          <w:lang w:val="fr-FR"/>
        </w:rPr>
        <w:t>effectivité de la protection juridictionnelle, si « l</w:t>
      </w:r>
      <w:r w:rsidR="00870D9A" w:rsidRPr="00870D9A">
        <w:rPr>
          <w:lang w:val="fr-FR"/>
        </w:rPr>
        <w:t>’</w:t>
      </w:r>
      <w:r w:rsidRPr="00870D9A">
        <w:rPr>
          <w:lang w:val="fr-FR"/>
        </w:rPr>
        <w:t>exécution de la décision rendue par le juge doit (</w:t>
      </w:r>
      <w:r w:rsidR="00AE4277" w:rsidRPr="00870D9A">
        <w:rPr>
          <w:lang w:val="fr-FR"/>
        </w:rPr>
        <w:t>...</w:t>
      </w:r>
      <w:r w:rsidRPr="00870D9A">
        <w:rPr>
          <w:lang w:val="fr-FR"/>
        </w:rPr>
        <w:t>) être considérée comme faisant partie intégrante du procès aux termes de l</w:t>
      </w:r>
      <w:r w:rsidR="00870D9A" w:rsidRPr="00870D9A">
        <w:rPr>
          <w:lang w:val="fr-FR"/>
        </w:rPr>
        <w:t>’</w:t>
      </w:r>
      <w:r w:rsidRPr="00870D9A">
        <w:rPr>
          <w:lang w:val="fr-FR"/>
        </w:rPr>
        <w:t>article 6 » de la CEDH et si, par conséquent, « la procédure d</w:t>
      </w:r>
      <w:r w:rsidR="00870D9A" w:rsidRPr="00870D9A">
        <w:rPr>
          <w:lang w:val="fr-FR"/>
        </w:rPr>
        <w:t>’</w:t>
      </w:r>
      <w:r w:rsidRPr="00870D9A">
        <w:rPr>
          <w:lang w:val="fr-FR"/>
        </w:rPr>
        <w:t>exécution constitue la deuxième phase du procès et que le droit revendiqué ne devient réellement effectif qu</w:t>
      </w:r>
      <w:r w:rsidR="00870D9A" w:rsidRPr="00870D9A">
        <w:rPr>
          <w:lang w:val="fr-FR"/>
        </w:rPr>
        <w:t>’</w:t>
      </w:r>
      <w:r w:rsidRPr="00870D9A">
        <w:rPr>
          <w:lang w:val="fr-FR"/>
        </w:rPr>
        <w:t>au moment de l</w:t>
      </w:r>
      <w:r w:rsidR="00870D9A" w:rsidRPr="00870D9A">
        <w:rPr>
          <w:lang w:val="fr-FR"/>
        </w:rPr>
        <w:t>’</w:t>
      </w:r>
      <w:r w:rsidRPr="00870D9A">
        <w:rPr>
          <w:lang w:val="fr-FR"/>
        </w:rPr>
        <w:t>exécution », il en découle nécessairement que, en principe (</w:t>
      </w:r>
      <w:proofErr w:type="spellStart"/>
      <w:r w:rsidRPr="00870D9A">
        <w:rPr>
          <w:i/>
          <w:lang w:val="fr-FR"/>
        </w:rPr>
        <w:t>sia</w:t>
      </w:r>
      <w:proofErr w:type="spellEnd"/>
      <w:r w:rsidRPr="00870D9A">
        <w:rPr>
          <w:i/>
          <w:lang w:val="fr-FR"/>
        </w:rPr>
        <w:t xml:space="preserve"> pure in </w:t>
      </w:r>
      <w:proofErr w:type="spellStart"/>
      <w:r w:rsidRPr="00870D9A">
        <w:rPr>
          <w:i/>
          <w:lang w:val="fr-FR"/>
        </w:rPr>
        <w:t>linea</w:t>
      </w:r>
      <w:proofErr w:type="spellEnd"/>
      <w:r w:rsidRPr="00870D9A">
        <w:rPr>
          <w:i/>
          <w:lang w:val="fr-FR"/>
        </w:rPr>
        <w:t xml:space="preserve"> di </w:t>
      </w:r>
      <w:proofErr w:type="spellStart"/>
      <w:r w:rsidRPr="00870D9A">
        <w:rPr>
          <w:i/>
          <w:lang w:val="fr-FR"/>
        </w:rPr>
        <w:t>principio</w:t>
      </w:r>
      <w:proofErr w:type="spellEnd"/>
      <w:r w:rsidRPr="00870D9A">
        <w:rPr>
          <w:lang w:val="fr-FR"/>
        </w:rPr>
        <w:t>), pour une interprétation conforme à la Constitution et à la Convention, et respectueuse tant des normes constitutionnelles évoquées que de l</w:t>
      </w:r>
      <w:r w:rsidR="00870D9A" w:rsidRPr="00870D9A">
        <w:rPr>
          <w:lang w:val="fr-FR"/>
        </w:rPr>
        <w:t>’</w:t>
      </w:r>
      <w:r w:rsidRPr="00870D9A">
        <w:rPr>
          <w:lang w:val="fr-FR"/>
        </w:rPr>
        <w:t>article 6 § 1 de la CEDH tel qu</w:t>
      </w:r>
      <w:r w:rsidR="00870D9A" w:rsidRPr="00870D9A">
        <w:rPr>
          <w:lang w:val="fr-FR"/>
        </w:rPr>
        <w:t>’</w:t>
      </w:r>
      <w:r w:rsidRPr="00870D9A">
        <w:rPr>
          <w:lang w:val="fr-FR"/>
        </w:rPr>
        <w:t>interprété par la Cour de Strasbourg, le procès « juste » (article 111, alinéa 1, de la Constitution) et « équitable » (article 6 de la Convention) s</w:t>
      </w:r>
      <w:r w:rsidR="00870D9A" w:rsidRPr="00870D9A">
        <w:rPr>
          <w:lang w:val="fr-FR"/>
        </w:rPr>
        <w:t>’</w:t>
      </w:r>
      <w:r w:rsidRPr="00870D9A">
        <w:rPr>
          <w:lang w:val="fr-FR"/>
        </w:rPr>
        <w:t>entend comme une procédure juridictionnelle unique, qui commence avec l</w:t>
      </w:r>
      <w:r w:rsidR="00870D9A" w:rsidRPr="00870D9A">
        <w:rPr>
          <w:lang w:val="fr-FR"/>
        </w:rPr>
        <w:t>’</w:t>
      </w:r>
      <w:r w:rsidRPr="00870D9A">
        <w:rPr>
          <w:lang w:val="fr-FR"/>
        </w:rPr>
        <w:t>accès au juge et se termine avec l</w:t>
      </w:r>
      <w:r w:rsidR="00870D9A" w:rsidRPr="00870D9A">
        <w:rPr>
          <w:lang w:val="fr-FR"/>
        </w:rPr>
        <w:t>’</w:t>
      </w:r>
      <w:r w:rsidRPr="00870D9A">
        <w:rPr>
          <w:lang w:val="fr-FR"/>
        </w:rPr>
        <w:t>exécution de la décision définitive et obligatoire (...)</w:t>
      </w:r>
      <w:proofErr w:type="gramEnd"/>
    </w:p>
    <w:p w:rsidR="00FB28EF" w:rsidRPr="00870D9A" w:rsidRDefault="00FB28EF" w:rsidP="00870D9A">
      <w:pPr>
        <w:pStyle w:val="ECHRParaQuote"/>
        <w:rPr>
          <w:lang w:val="fr-FR"/>
        </w:rPr>
      </w:pPr>
      <w:proofErr w:type="gramStart"/>
      <w:r w:rsidRPr="00870D9A">
        <w:rPr>
          <w:lang w:val="fr-FR"/>
        </w:rPr>
        <w:t>Lorsque, dans un procès civil ou administratif, la situation juridique subjective a été reconnue dans une décision judiciaire devenue définitive et contraignante (« phase » au fond), mais que, cette décision est restée inopérante, le titulaire du droit reconnu par le juge au fond a dû en demander l</w:t>
      </w:r>
      <w:r w:rsidR="00870D9A" w:rsidRPr="00870D9A">
        <w:rPr>
          <w:lang w:val="fr-FR"/>
        </w:rPr>
        <w:t>’</w:t>
      </w:r>
      <w:r w:rsidRPr="00870D9A">
        <w:rPr>
          <w:lang w:val="fr-FR"/>
        </w:rPr>
        <w:t>exécution forcée (« phase » de l</w:t>
      </w:r>
      <w:r w:rsidR="00870D9A" w:rsidRPr="00870D9A">
        <w:rPr>
          <w:lang w:val="fr-FR"/>
        </w:rPr>
        <w:t>’</w:t>
      </w:r>
      <w:r w:rsidRPr="00870D9A">
        <w:rPr>
          <w:lang w:val="fr-FR"/>
        </w:rPr>
        <w:t>exécution), la garantie constitutionnelle d</w:t>
      </w:r>
      <w:r w:rsidR="00870D9A" w:rsidRPr="00870D9A">
        <w:rPr>
          <w:lang w:val="fr-FR"/>
        </w:rPr>
        <w:t>’</w:t>
      </w:r>
      <w:r w:rsidRPr="00870D9A">
        <w:rPr>
          <w:lang w:val="fr-FR"/>
        </w:rPr>
        <w:t>effectivité de la protection juridictionnelle et l</w:t>
      </w:r>
      <w:r w:rsidR="00870D9A" w:rsidRPr="00870D9A">
        <w:rPr>
          <w:lang w:val="fr-FR"/>
        </w:rPr>
        <w:t>’</w:t>
      </w:r>
      <w:r w:rsidRPr="00870D9A">
        <w:rPr>
          <w:lang w:val="fr-FR"/>
        </w:rPr>
        <w:t>article 6 § 1 de la CEDH, tel qu</w:t>
      </w:r>
      <w:r w:rsidR="00870D9A" w:rsidRPr="00870D9A">
        <w:rPr>
          <w:lang w:val="fr-FR"/>
        </w:rPr>
        <w:t>’</w:t>
      </w:r>
      <w:r w:rsidRPr="00870D9A">
        <w:rPr>
          <w:lang w:val="fr-FR"/>
        </w:rPr>
        <w:t>interprété par la Cour de Strasbourg, imposent de considérer que cette procédure complexe s</w:t>
      </w:r>
      <w:r w:rsidR="00870D9A" w:rsidRPr="00870D9A">
        <w:rPr>
          <w:lang w:val="fr-FR"/>
        </w:rPr>
        <w:t>’</w:t>
      </w:r>
      <w:r w:rsidRPr="00870D9A">
        <w:rPr>
          <w:lang w:val="fr-FR"/>
        </w:rPr>
        <w:t>articule comme un « seul procès » composé de phases successives et complémentaires (...)</w:t>
      </w:r>
      <w:proofErr w:type="gramEnd"/>
    </w:p>
    <w:p w:rsidR="00FB28EF" w:rsidRPr="00870D9A" w:rsidRDefault="00FB28EF" w:rsidP="00870D9A">
      <w:pPr>
        <w:pStyle w:val="ECHRParaQuote"/>
        <w:rPr>
          <w:lang w:val="fr-FR"/>
        </w:rPr>
      </w:pPr>
      <w:r w:rsidRPr="00870D9A">
        <w:rPr>
          <w:lang w:val="fr-FR"/>
        </w:rPr>
        <w:t>Dans une telle perspective, les « différences fonctionnelles et structurelles » entre la procédure au fond et la procédure d</w:t>
      </w:r>
      <w:r w:rsidR="00870D9A" w:rsidRPr="00870D9A">
        <w:rPr>
          <w:lang w:val="fr-FR"/>
        </w:rPr>
        <w:t>’</w:t>
      </w:r>
      <w:r w:rsidRPr="00870D9A">
        <w:rPr>
          <w:lang w:val="fr-FR"/>
        </w:rPr>
        <w:t>exécution forcée s</w:t>
      </w:r>
      <w:r w:rsidR="00870D9A" w:rsidRPr="00870D9A">
        <w:rPr>
          <w:lang w:val="fr-FR"/>
        </w:rPr>
        <w:t>’</w:t>
      </w:r>
      <w:r w:rsidRPr="00870D9A">
        <w:rPr>
          <w:lang w:val="fr-FR"/>
        </w:rPr>
        <w:t>atténuent jusqu</w:t>
      </w:r>
      <w:r w:rsidR="00870D9A" w:rsidRPr="00870D9A">
        <w:rPr>
          <w:lang w:val="fr-FR"/>
        </w:rPr>
        <w:t>’</w:t>
      </w:r>
      <w:r w:rsidRPr="00870D9A">
        <w:rPr>
          <w:lang w:val="fr-FR"/>
        </w:rPr>
        <w:t>à disparaître. »</w:t>
      </w:r>
    </w:p>
    <w:bookmarkStart w:id="7" w:name="REVIREMENT_JURISPRUDENCE_2016"/>
    <w:p w:rsidR="00FB28EF" w:rsidRPr="00870D9A" w:rsidRDefault="00FB28EF"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24</w:t>
      </w:r>
      <w:r w:rsidRPr="00870D9A">
        <w:rPr>
          <w:lang w:val="fr-FR"/>
        </w:rPr>
        <w:fldChar w:fldCharType="end"/>
      </w:r>
      <w:bookmarkEnd w:id="7"/>
      <w:r w:rsidRPr="00870D9A">
        <w:rPr>
          <w:lang w:val="fr-FR"/>
        </w:rPr>
        <w:t>.  Dans le même sens, l</w:t>
      </w:r>
      <w:r w:rsidR="00870D9A" w:rsidRPr="00870D9A">
        <w:rPr>
          <w:lang w:val="fr-FR"/>
        </w:rPr>
        <w:t>’</w:t>
      </w:r>
      <w:r w:rsidRPr="00870D9A">
        <w:rPr>
          <w:lang w:val="fr-FR"/>
        </w:rPr>
        <w:t>Assemblée plénière de la Cour de cassation a confirmé et précisé la nouvelle « lecture globale » dans le récent arrêt n</w:t>
      </w:r>
      <w:r w:rsidRPr="00870D9A">
        <w:rPr>
          <w:vertAlign w:val="superscript"/>
          <w:lang w:val="fr-FR"/>
        </w:rPr>
        <w:t>o </w:t>
      </w:r>
      <w:r w:rsidRPr="00870D9A">
        <w:rPr>
          <w:lang w:val="fr-FR"/>
        </w:rPr>
        <w:t>9142 du 6 mai 2016. La Cour de cassation s</w:t>
      </w:r>
      <w:r w:rsidR="00870D9A" w:rsidRPr="00870D9A">
        <w:rPr>
          <w:lang w:val="fr-FR"/>
        </w:rPr>
        <w:t>’</w:t>
      </w:r>
      <w:r w:rsidRPr="00870D9A">
        <w:rPr>
          <w:lang w:val="fr-FR"/>
        </w:rPr>
        <w:t>est notamment exprimée comme suit :</w:t>
      </w:r>
    </w:p>
    <w:p w:rsidR="00FB28EF" w:rsidRPr="00870D9A" w:rsidRDefault="00FB28EF" w:rsidP="00870D9A">
      <w:pPr>
        <w:pStyle w:val="ECHRParaQuote"/>
        <w:rPr>
          <w:lang w:val="fr-FR"/>
        </w:rPr>
      </w:pPr>
      <w:proofErr w:type="gramStart"/>
      <w:r w:rsidRPr="00870D9A">
        <w:rPr>
          <w:lang w:val="fr-FR"/>
        </w:rPr>
        <w:t>« III.  La question posée par la section simple concerne en substance la compatibilité de la structure de la procédure « Pinto » (</w:t>
      </w:r>
      <w:r w:rsidR="00AE4277" w:rsidRPr="00870D9A">
        <w:rPr>
          <w:lang w:val="fr-FR"/>
        </w:rPr>
        <w:t>...</w:t>
      </w:r>
      <w:r w:rsidRPr="00870D9A">
        <w:rPr>
          <w:lang w:val="fr-FR"/>
        </w:rPr>
        <w:t>) avec les principes découlant de la CEDH quant à la qualification fonctionnelle de la notion de « décision définitive » : en particulier, la présente décision a pour objet de vérifier si la discipline normative prévoyant un délai de forclusion de six mois à partir de l</w:t>
      </w:r>
      <w:r w:rsidR="00870D9A" w:rsidRPr="00870D9A">
        <w:rPr>
          <w:lang w:val="fr-FR"/>
        </w:rPr>
        <w:t>’</w:t>
      </w:r>
      <w:r w:rsidRPr="00870D9A">
        <w:rPr>
          <w:lang w:val="fr-FR"/>
        </w:rPr>
        <w:t>issue de la procédure doit, en général, s</w:t>
      </w:r>
      <w:r w:rsidR="00870D9A" w:rsidRPr="00870D9A">
        <w:rPr>
          <w:lang w:val="fr-FR"/>
        </w:rPr>
        <w:t>’</w:t>
      </w:r>
      <w:r w:rsidRPr="00870D9A">
        <w:rPr>
          <w:lang w:val="fr-FR"/>
        </w:rPr>
        <w:t xml:space="preserve">appliquer à partir de la décision interne définitive de la procédure considérée dans son ensemble (fond + exécution) ou si, une fois ce principe établi, il y </w:t>
      </w:r>
      <w:r w:rsidRPr="00870D9A">
        <w:rPr>
          <w:lang w:val="fr-FR"/>
        </w:rPr>
        <w:lastRenderedPageBreak/>
        <w:t>a lieu de tenir également compte du comportement non actif de la partie en cause entre la conclusion de la phase au fond et le début de la phase d</w:t>
      </w:r>
      <w:r w:rsidR="00870D9A" w:rsidRPr="00870D9A">
        <w:rPr>
          <w:lang w:val="fr-FR"/>
        </w:rPr>
        <w:t>’</w:t>
      </w:r>
      <w:r w:rsidRPr="00870D9A">
        <w:rPr>
          <w:lang w:val="fr-FR"/>
        </w:rPr>
        <w:t xml:space="preserve">exécution ; autrement dit, si la possibilité de décaler le </w:t>
      </w:r>
      <w:r w:rsidRPr="00870D9A">
        <w:rPr>
          <w:i/>
          <w:lang w:val="fr-FR"/>
        </w:rPr>
        <w:t>dies ad quem</w:t>
      </w:r>
      <w:r w:rsidRPr="00870D9A">
        <w:rPr>
          <w:lang w:val="fr-FR"/>
        </w:rPr>
        <w:t xml:space="preserve"> de l</w:t>
      </w:r>
      <w:r w:rsidR="00870D9A" w:rsidRPr="00870D9A">
        <w:rPr>
          <w:lang w:val="fr-FR"/>
        </w:rPr>
        <w:t>’</w:t>
      </w:r>
      <w:r w:rsidRPr="00870D9A">
        <w:rPr>
          <w:lang w:val="fr-FR"/>
        </w:rPr>
        <w:t>issue de la procédure susmentionnée et d</w:t>
      </w:r>
      <w:r w:rsidR="00870D9A" w:rsidRPr="00870D9A">
        <w:rPr>
          <w:lang w:val="fr-FR"/>
        </w:rPr>
        <w:t>’</w:t>
      </w:r>
      <w:r w:rsidRPr="00870D9A">
        <w:rPr>
          <w:lang w:val="fr-FR"/>
        </w:rPr>
        <w:t>identifier donc la décision interne définitive (à conclusion de phase d</w:t>
      </w:r>
      <w:r w:rsidR="00870D9A" w:rsidRPr="00870D9A">
        <w:rPr>
          <w:lang w:val="fr-FR"/>
        </w:rPr>
        <w:t>’</w:t>
      </w:r>
      <w:r w:rsidRPr="00870D9A">
        <w:rPr>
          <w:lang w:val="fr-FR"/>
        </w:rPr>
        <w:t>exécution) ne se heurte pas à la limite de l</w:t>
      </w:r>
      <w:r w:rsidR="00870D9A" w:rsidRPr="00870D9A">
        <w:rPr>
          <w:lang w:val="fr-FR"/>
        </w:rPr>
        <w:t>’</w:t>
      </w:r>
      <w:r w:rsidRPr="00870D9A">
        <w:rPr>
          <w:lang w:val="fr-FR"/>
        </w:rPr>
        <w:t>expiration du délai de six mois prévu à l</w:t>
      </w:r>
      <w:r w:rsidR="00870D9A" w:rsidRPr="00870D9A">
        <w:rPr>
          <w:lang w:val="fr-FR"/>
        </w:rPr>
        <w:t>’</w:t>
      </w:r>
      <w:r w:rsidRPr="00870D9A">
        <w:rPr>
          <w:lang w:val="fr-FR"/>
        </w:rPr>
        <w:t>article 4 de la loi n</w:t>
      </w:r>
      <w:r w:rsidRPr="00870D9A">
        <w:rPr>
          <w:vertAlign w:val="superscript"/>
          <w:lang w:val="fr-FR"/>
        </w:rPr>
        <w:t>o</w:t>
      </w:r>
      <w:r w:rsidRPr="00870D9A">
        <w:rPr>
          <w:lang w:val="fr-FR"/>
        </w:rPr>
        <w:t xml:space="preserve"> 89 de 2001 dans son libellé initial.</w:t>
      </w:r>
      <w:proofErr w:type="gramEnd"/>
    </w:p>
    <w:p w:rsidR="00FB28EF" w:rsidRPr="00870D9A" w:rsidRDefault="00FB28EF" w:rsidP="00870D9A">
      <w:pPr>
        <w:pStyle w:val="ECHRParaQuote"/>
        <w:rPr>
          <w:lang w:val="fr-FR"/>
        </w:rPr>
      </w:pPr>
      <w:r w:rsidRPr="00870D9A">
        <w:rPr>
          <w:lang w:val="fr-FR"/>
        </w:rPr>
        <w:t>(...)</w:t>
      </w:r>
    </w:p>
    <w:p w:rsidR="00FB28EF" w:rsidRPr="00870D9A" w:rsidRDefault="00FB28EF" w:rsidP="00870D9A">
      <w:pPr>
        <w:pStyle w:val="ECHRParaQuote"/>
        <w:rPr>
          <w:lang w:val="fr-FR"/>
        </w:rPr>
      </w:pPr>
      <w:r w:rsidRPr="00870D9A">
        <w:rPr>
          <w:lang w:val="fr-FR"/>
        </w:rPr>
        <w:t>VII.</w:t>
      </w:r>
      <w:proofErr w:type="gramStart"/>
      <w:r w:rsidRPr="00870D9A">
        <w:rPr>
          <w:lang w:val="fr-FR"/>
        </w:rPr>
        <w:t>  La</w:t>
      </w:r>
      <w:proofErr w:type="gramEnd"/>
      <w:r w:rsidRPr="00870D9A">
        <w:rPr>
          <w:lang w:val="fr-FR"/>
        </w:rPr>
        <w:t xml:space="preserve"> sauvegarde de la particularité – fût-elle historique – des règles de procédure adoptées par un État pose un problème dans l</w:t>
      </w:r>
      <w:r w:rsidR="00870D9A" w:rsidRPr="00870D9A">
        <w:rPr>
          <w:lang w:val="fr-FR"/>
        </w:rPr>
        <w:t>’</w:t>
      </w:r>
      <w:r w:rsidRPr="00870D9A">
        <w:rPr>
          <w:lang w:val="fr-FR"/>
        </w:rPr>
        <w:t>optique d</w:t>
      </w:r>
      <w:r w:rsidR="00870D9A" w:rsidRPr="00870D9A">
        <w:rPr>
          <w:lang w:val="fr-FR"/>
        </w:rPr>
        <w:t>’</w:t>
      </w:r>
      <w:r w:rsidRPr="00870D9A">
        <w:rPr>
          <w:lang w:val="fr-FR"/>
        </w:rPr>
        <w:t>assurer la conformité des critères de procédure nationaux avec les critères européens.</w:t>
      </w:r>
    </w:p>
    <w:p w:rsidR="00FB28EF" w:rsidRPr="00870D9A" w:rsidRDefault="00FB28EF" w:rsidP="00870D9A">
      <w:pPr>
        <w:pStyle w:val="ECHRParaQuote"/>
        <w:rPr>
          <w:lang w:val="fr-FR"/>
        </w:rPr>
      </w:pPr>
      <w:r w:rsidRPr="00870D9A">
        <w:rPr>
          <w:lang w:val="fr-FR"/>
        </w:rPr>
        <w:t>(...)</w:t>
      </w:r>
    </w:p>
    <w:p w:rsidR="00FB28EF" w:rsidRPr="00870D9A" w:rsidRDefault="00FB28EF" w:rsidP="00870D9A">
      <w:pPr>
        <w:pStyle w:val="ECHRParaQuote"/>
        <w:rPr>
          <w:lang w:val="fr-FR"/>
        </w:rPr>
      </w:pPr>
      <w:r w:rsidRPr="00870D9A">
        <w:rPr>
          <w:lang w:val="fr-FR"/>
        </w:rPr>
        <w:t>IX.</w:t>
      </w:r>
      <w:proofErr w:type="gramStart"/>
      <w:r w:rsidRPr="00870D9A">
        <w:rPr>
          <w:lang w:val="fr-FR"/>
        </w:rPr>
        <w:t>  La</w:t>
      </w:r>
      <w:proofErr w:type="gramEnd"/>
      <w:r w:rsidRPr="00870D9A">
        <w:rPr>
          <w:lang w:val="fr-FR"/>
        </w:rPr>
        <w:t xml:space="preserve"> Cour [de cassation] considère toutefois qu</w:t>
      </w:r>
      <w:r w:rsidR="00870D9A" w:rsidRPr="00870D9A">
        <w:rPr>
          <w:lang w:val="fr-FR"/>
        </w:rPr>
        <w:t>’</w:t>
      </w:r>
      <w:r w:rsidRPr="00870D9A">
        <w:rPr>
          <w:lang w:val="fr-FR"/>
        </w:rPr>
        <w:t>il est possible de parvenir à un résultat équilibré (...)</w:t>
      </w:r>
    </w:p>
    <w:p w:rsidR="00FB28EF" w:rsidRPr="00870D9A" w:rsidRDefault="00FB28EF" w:rsidP="00870D9A">
      <w:pPr>
        <w:pStyle w:val="ECHRParaQuote"/>
        <w:rPr>
          <w:lang w:val="fr-FR"/>
        </w:rPr>
      </w:pPr>
      <w:proofErr w:type="gramStart"/>
      <w:r w:rsidRPr="00870D9A">
        <w:rPr>
          <w:lang w:val="fr-FR"/>
        </w:rPr>
        <w:t>X.  En fonction du comportement des parties, la procédure peut être considérée comme étant un tout ou comme étant séparée en deux « phases » : si une partie laisse s</w:t>
      </w:r>
      <w:r w:rsidR="00870D9A" w:rsidRPr="00870D9A">
        <w:rPr>
          <w:lang w:val="fr-FR"/>
        </w:rPr>
        <w:t>’</w:t>
      </w:r>
      <w:r w:rsidRPr="00870D9A">
        <w:rPr>
          <w:lang w:val="fr-FR"/>
        </w:rPr>
        <w:t>écouler un délai considérable</w:t>
      </w:r>
      <w:r w:rsidRPr="00870D9A">
        <w:rPr>
          <w:rFonts w:ascii="Times New Roman" w:hAnsi="Times New Roman" w:cs="Times New Roman"/>
          <w:sz w:val="24"/>
          <w:szCs w:val="24"/>
          <w:lang w:val="fr-FR"/>
        </w:rPr>
        <w:t xml:space="preserve"> – </w:t>
      </w:r>
      <w:r w:rsidRPr="00870D9A">
        <w:rPr>
          <w:rFonts w:ascii="Times New Roman" w:hAnsi="Times New Roman" w:cs="Times New Roman"/>
          <w:szCs w:val="20"/>
          <w:lang w:val="fr-FR"/>
        </w:rPr>
        <w:t xml:space="preserve">qui doit être identifié </w:t>
      </w:r>
      <w:r w:rsidRPr="00870D9A">
        <w:rPr>
          <w:szCs w:val="20"/>
          <w:lang w:val="fr-FR"/>
        </w:rPr>
        <w:t>avec le délai de six mois prévu à</w:t>
      </w:r>
      <w:r w:rsidRPr="00870D9A">
        <w:rPr>
          <w:lang w:val="fr-FR"/>
        </w:rPr>
        <w:t xml:space="preserve"> l</w:t>
      </w:r>
      <w:r w:rsidR="00870D9A" w:rsidRPr="00870D9A">
        <w:rPr>
          <w:lang w:val="fr-FR"/>
        </w:rPr>
        <w:t>’</w:t>
      </w:r>
      <w:r w:rsidRPr="00870D9A">
        <w:rPr>
          <w:lang w:val="fr-FR"/>
        </w:rPr>
        <w:t>article 4 de la loi n</w:t>
      </w:r>
      <w:r w:rsidRPr="00870D9A">
        <w:rPr>
          <w:vertAlign w:val="superscript"/>
          <w:lang w:val="fr-FR"/>
        </w:rPr>
        <w:t>o</w:t>
      </w:r>
      <w:r w:rsidRPr="00870D9A">
        <w:rPr>
          <w:lang w:val="fr-FR"/>
        </w:rPr>
        <w:t xml:space="preserve"> 89 de 2001 – à partir du moment où la décision a acquis force de chose jugée, cette même partie ne peut pas, par la suite, dénoncer une durée excessive de cette partie de la procédure ; si, au contraire, la partie </w:t>
      </w:r>
      <w:proofErr w:type="spellStart"/>
      <w:r w:rsidRPr="00870D9A">
        <w:rPr>
          <w:lang w:val="fr-FR"/>
        </w:rPr>
        <w:t>a</w:t>
      </w:r>
      <w:proofErr w:type="spellEnd"/>
      <w:r w:rsidRPr="00870D9A">
        <w:rPr>
          <w:lang w:val="fr-FR"/>
        </w:rPr>
        <w:t xml:space="preserve"> un comportement actif avant l</w:t>
      </w:r>
      <w:r w:rsidR="00870D9A" w:rsidRPr="00870D9A">
        <w:rPr>
          <w:lang w:val="fr-FR"/>
        </w:rPr>
        <w:t>’</w:t>
      </w:r>
      <w:r w:rsidRPr="00870D9A">
        <w:rPr>
          <w:lang w:val="fr-FR"/>
        </w:rPr>
        <w:t>expiration du délai de six mois afin de procéder à l</w:t>
      </w:r>
      <w:r w:rsidR="00870D9A" w:rsidRPr="00870D9A">
        <w:rPr>
          <w:lang w:val="fr-FR"/>
        </w:rPr>
        <w:t>’</w:t>
      </w:r>
      <w:r w:rsidRPr="00870D9A">
        <w:rPr>
          <w:lang w:val="fr-FR"/>
        </w:rPr>
        <w:t>exécution, alors (</w:t>
      </w:r>
      <w:r w:rsidR="00AE4277" w:rsidRPr="00870D9A">
        <w:rPr>
          <w:lang w:val="fr-FR"/>
        </w:rPr>
        <w:t>...</w:t>
      </w:r>
      <w:r w:rsidRPr="00870D9A">
        <w:rPr>
          <w:lang w:val="fr-FR"/>
        </w:rPr>
        <w:t>) il est possible de considérer la procédure comme étant un tout, aux fins du calcul de la durée en question (...)</w:t>
      </w:r>
      <w:proofErr w:type="gramEnd"/>
    </w:p>
    <w:p w:rsidR="00FB28EF" w:rsidRPr="00870D9A" w:rsidRDefault="00FB28EF" w:rsidP="00870D9A">
      <w:pPr>
        <w:pStyle w:val="ECHRParaQuote"/>
        <w:rPr>
          <w:lang w:val="fr-FR"/>
        </w:rPr>
      </w:pPr>
      <w:r w:rsidRPr="00870D9A">
        <w:rPr>
          <w:lang w:val="fr-FR"/>
        </w:rPr>
        <w:t>XI.  Il s</w:t>
      </w:r>
      <w:r w:rsidR="00870D9A" w:rsidRPr="00870D9A">
        <w:rPr>
          <w:lang w:val="fr-FR"/>
        </w:rPr>
        <w:t>’</w:t>
      </w:r>
      <w:r w:rsidRPr="00870D9A">
        <w:rPr>
          <w:lang w:val="fr-FR"/>
        </w:rPr>
        <w:t>ensuit que, lorsque l</w:t>
      </w:r>
      <w:r w:rsidR="00870D9A" w:rsidRPr="00870D9A">
        <w:rPr>
          <w:lang w:val="fr-FR"/>
        </w:rPr>
        <w:t>’</w:t>
      </w:r>
      <w:r w:rsidRPr="00870D9A">
        <w:rPr>
          <w:lang w:val="fr-FR"/>
        </w:rPr>
        <w:t>article 4 de la loi n</w:t>
      </w:r>
      <w:r w:rsidRPr="00870D9A">
        <w:rPr>
          <w:vertAlign w:val="superscript"/>
          <w:lang w:val="fr-FR"/>
        </w:rPr>
        <w:t>o</w:t>
      </w:r>
      <w:r w:rsidRPr="00870D9A">
        <w:rPr>
          <w:lang w:val="fr-FR"/>
        </w:rPr>
        <w:t xml:space="preserve"> 89 de 2001, dans sa formulation antérieure à la réforme de 2012, établissait la forclusion du droit à indemnisation pour dépassement du délai de six mois, il présupposait une appréciation au cas par cas du lien entre la phase au fond et la phase d</w:t>
      </w:r>
      <w:r w:rsidR="00870D9A" w:rsidRPr="00870D9A">
        <w:rPr>
          <w:lang w:val="fr-FR"/>
        </w:rPr>
        <w:t>’</w:t>
      </w:r>
      <w:r w:rsidRPr="00870D9A">
        <w:rPr>
          <w:lang w:val="fr-FR"/>
        </w:rPr>
        <w:t>exécution, du point de vue de l</w:t>
      </w:r>
      <w:r w:rsidR="00870D9A" w:rsidRPr="00870D9A">
        <w:rPr>
          <w:lang w:val="fr-FR"/>
        </w:rPr>
        <w:t>’</w:t>
      </w:r>
      <w:r w:rsidRPr="00870D9A">
        <w:rPr>
          <w:lang w:val="fr-FR"/>
        </w:rPr>
        <w:t>action et non du droit (...)</w:t>
      </w:r>
    </w:p>
    <w:p w:rsidR="00E77CB3" w:rsidRPr="00870D9A" w:rsidRDefault="00FB28EF" w:rsidP="00870D9A">
      <w:pPr>
        <w:pStyle w:val="ECHRParaQuote"/>
        <w:rPr>
          <w:lang w:val="fr-FR"/>
        </w:rPr>
      </w:pPr>
      <w:proofErr w:type="gramStart"/>
      <w:r w:rsidRPr="00870D9A">
        <w:rPr>
          <w:lang w:val="fr-FR"/>
        </w:rPr>
        <w:t>XII.  La nouvelle perspective établie par l</w:t>
      </w:r>
      <w:r w:rsidR="00870D9A" w:rsidRPr="00870D9A">
        <w:rPr>
          <w:lang w:val="fr-FR"/>
        </w:rPr>
        <w:t>’</w:t>
      </w:r>
      <w:r w:rsidRPr="00870D9A">
        <w:rPr>
          <w:lang w:val="fr-FR"/>
        </w:rPr>
        <w:t>arrêt de l</w:t>
      </w:r>
      <w:r w:rsidR="00870D9A" w:rsidRPr="00870D9A">
        <w:rPr>
          <w:lang w:val="fr-FR"/>
        </w:rPr>
        <w:t>’</w:t>
      </w:r>
      <w:r w:rsidRPr="00870D9A">
        <w:rPr>
          <w:lang w:val="fr-FR"/>
        </w:rPr>
        <w:t>Assemblée plénière (</w:t>
      </w:r>
      <w:proofErr w:type="spellStart"/>
      <w:r w:rsidRPr="00870D9A">
        <w:rPr>
          <w:lang w:val="fr-FR"/>
        </w:rPr>
        <w:t>Sezioni</w:t>
      </w:r>
      <w:proofErr w:type="spellEnd"/>
      <w:r w:rsidRPr="00870D9A">
        <w:rPr>
          <w:lang w:val="fr-FR"/>
        </w:rPr>
        <w:t xml:space="preserve"> </w:t>
      </w:r>
      <w:proofErr w:type="spellStart"/>
      <w:r w:rsidRPr="00870D9A">
        <w:rPr>
          <w:lang w:val="fr-FR"/>
        </w:rPr>
        <w:t>Unite</w:t>
      </w:r>
      <w:proofErr w:type="spellEnd"/>
      <w:r w:rsidRPr="00870D9A">
        <w:rPr>
          <w:lang w:val="fr-FR"/>
        </w:rPr>
        <w:t>) de 2014 [n</w:t>
      </w:r>
      <w:r w:rsidRPr="00870D9A">
        <w:rPr>
          <w:vertAlign w:val="superscript"/>
          <w:lang w:val="fr-FR"/>
        </w:rPr>
        <w:t>o</w:t>
      </w:r>
      <w:r w:rsidRPr="00870D9A">
        <w:rPr>
          <w:lang w:val="fr-FR"/>
        </w:rPr>
        <w:t xml:space="preserve"> 6312/2014 susmentionné], qui est davantage conforme aux principes de la CEDH – selon l</w:t>
      </w:r>
      <w:r w:rsidR="00870D9A" w:rsidRPr="00870D9A">
        <w:rPr>
          <w:lang w:val="fr-FR"/>
        </w:rPr>
        <w:t>’</w:t>
      </w:r>
      <w:r w:rsidRPr="00870D9A">
        <w:rPr>
          <w:lang w:val="fr-FR"/>
        </w:rPr>
        <w:t>interprétation soulignée précédemment – (...) ne peut donc pas être entendue dans un sens absolu, c</w:t>
      </w:r>
      <w:r w:rsidR="00870D9A" w:rsidRPr="00870D9A">
        <w:rPr>
          <w:lang w:val="fr-FR"/>
        </w:rPr>
        <w:t>’</w:t>
      </w:r>
      <w:r w:rsidRPr="00870D9A">
        <w:rPr>
          <w:lang w:val="fr-FR"/>
        </w:rPr>
        <w:t>est-à-dire en faisant abstraction des différences – de structures et de principe – propres au système national entre la phase au fond et la phase d</w:t>
      </w:r>
      <w:r w:rsidR="00870D9A" w:rsidRPr="00870D9A">
        <w:rPr>
          <w:lang w:val="fr-FR"/>
        </w:rPr>
        <w:t>’</w:t>
      </w:r>
      <w:r w:rsidRPr="00870D9A">
        <w:rPr>
          <w:lang w:val="fr-FR"/>
        </w:rPr>
        <w:t>exécution (...) : c</w:t>
      </w:r>
      <w:r w:rsidR="00870D9A" w:rsidRPr="00870D9A">
        <w:rPr>
          <w:lang w:val="fr-FR"/>
        </w:rPr>
        <w:t>’</w:t>
      </w:r>
      <w:r w:rsidRPr="00870D9A">
        <w:rPr>
          <w:lang w:val="fr-FR"/>
        </w:rPr>
        <w:t>est justement en tenant compte de ces différences qu</w:t>
      </w:r>
      <w:r w:rsidR="00870D9A" w:rsidRPr="00870D9A">
        <w:rPr>
          <w:lang w:val="fr-FR"/>
        </w:rPr>
        <w:t>’</w:t>
      </w:r>
      <w:r w:rsidRPr="00870D9A">
        <w:rPr>
          <w:lang w:val="fr-FR"/>
        </w:rPr>
        <w:t>il est possible d</w:t>
      </w:r>
      <w:r w:rsidR="00870D9A" w:rsidRPr="00870D9A">
        <w:rPr>
          <w:lang w:val="fr-FR"/>
        </w:rPr>
        <w:t>’</w:t>
      </w:r>
      <w:r w:rsidRPr="00870D9A">
        <w:rPr>
          <w:lang w:val="fr-FR"/>
        </w:rPr>
        <w:t>interpréter la norme (</w:t>
      </w:r>
      <w:r w:rsidR="00AE4277" w:rsidRPr="00870D9A">
        <w:rPr>
          <w:lang w:val="fr-FR"/>
        </w:rPr>
        <w:t>...</w:t>
      </w:r>
      <w:r w:rsidRPr="00870D9A">
        <w:rPr>
          <w:lang w:val="fr-FR"/>
        </w:rPr>
        <w:t>) de manière à fixer, en fonction du comportement de la partie, le point de départ du délai de six mois soit à la date à laquelle la décision au fond est passée en force de chose jugée soit au moment de la réalisation effective du droit reconnu dans la phase précédente (...) »</w:t>
      </w:r>
      <w:proofErr w:type="gramEnd"/>
    </w:p>
    <w:p w:rsidR="005F347E" w:rsidRPr="00870D9A" w:rsidRDefault="00E77CB3" w:rsidP="00870D9A">
      <w:pPr>
        <w:pStyle w:val="ECHRTitle1"/>
        <w:rPr>
          <w:lang w:val="fr-FR"/>
        </w:rPr>
      </w:pPr>
      <w:r w:rsidRPr="00870D9A">
        <w:rPr>
          <w:lang w:val="fr-FR"/>
        </w:rPr>
        <w:lastRenderedPageBreak/>
        <w:t>EN DROIT</w:t>
      </w:r>
    </w:p>
    <w:p w:rsidR="00E77CB3" w:rsidRPr="00870D9A" w:rsidRDefault="005F347E" w:rsidP="00870D9A">
      <w:pPr>
        <w:pStyle w:val="ECHRHeading1"/>
        <w:rPr>
          <w:lang w:val="fr-FR"/>
        </w:rPr>
      </w:pPr>
      <w:r w:rsidRPr="00870D9A">
        <w:rPr>
          <w:lang w:val="fr-FR"/>
        </w:rPr>
        <w:t>I.</w:t>
      </w:r>
      <w:proofErr w:type="gramStart"/>
      <w:r w:rsidR="00E77CB3" w:rsidRPr="00870D9A">
        <w:rPr>
          <w:lang w:val="fr-FR"/>
        </w:rPr>
        <w:t>  SUR</w:t>
      </w:r>
      <w:proofErr w:type="gramEnd"/>
      <w:r w:rsidR="00E77CB3" w:rsidRPr="00870D9A">
        <w:rPr>
          <w:lang w:val="fr-FR"/>
        </w:rPr>
        <w:t xml:space="preserve"> LA VIOLATION ALLÉGUÉE DE L</w:t>
      </w:r>
      <w:r w:rsidR="00870D9A" w:rsidRPr="00870D9A">
        <w:rPr>
          <w:lang w:val="fr-FR"/>
        </w:rPr>
        <w:t>’</w:t>
      </w:r>
      <w:r w:rsidR="00E77CB3" w:rsidRPr="00870D9A">
        <w:rPr>
          <w:lang w:val="fr-FR"/>
        </w:rPr>
        <w:t xml:space="preserve">ARTICLE </w:t>
      </w:r>
      <w:r w:rsidR="00FB28EF" w:rsidRPr="00870D9A">
        <w:rPr>
          <w:lang w:val="fr-FR"/>
        </w:rPr>
        <w:t>6 § 1</w:t>
      </w:r>
      <w:r w:rsidR="00E77CB3" w:rsidRPr="00870D9A">
        <w:rPr>
          <w:lang w:val="fr-FR"/>
        </w:rPr>
        <w:t xml:space="preserve"> DE LA CONVENTION</w:t>
      </w:r>
    </w:p>
    <w:p w:rsidR="003B1403" w:rsidRPr="00870D9A" w:rsidRDefault="005F347E"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25</w:t>
      </w:r>
      <w:r w:rsidRPr="00870D9A">
        <w:rPr>
          <w:lang w:val="fr-FR"/>
        </w:rPr>
        <w:fldChar w:fldCharType="end"/>
      </w:r>
      <w:r w:rsidR="00E77CB3" w:rsidRPr="00870D9A">
        <w:rPr>
          <w:lang w:val="fr-FR"/>
        </w:rPr>
        <w:t>.  </w:t>
      </w:r>
      <w:r w:rsidRPr="00870D9A">
        <w:rPr>
          <w:lang w:val="fr-FR"/>
        </w:rPr>
        <w:t>La requérante</w:t>
      </w:r>
      <w:r w:rsidR="00FB28EF" w:rsidRPr="00870D9A">
        <w:rPr>
          <w:lang w:val="fr-FR"/>
        </w:rPr>
        <w:t xml:space="preserve"> </w:t>
      </w:r>
      <w:r w:rsidR="003B1403" w:rsidRPr="00870D9A">
        <w:rPr>
          <w:lang w:val="fr-FR"/>
        </w:rPr>
        <w:t xml:space="preserve">se plaint de la durée </w:t>
      </w:r>
      <w:r w:rsidR="001E313F" w:rsidRPr="00870D9A">
        <w:rPr>
          <w:lang w:val="fr-FR"/>
        </w:rPr>
        <w:t>excessive</w:t>
      </w:r>
      <w:r w:rsidR="003B1403" w:rsidRPr="00870D9A">
        <w:rPr>
          <w:lang w:val="fr-FR"/>
        </w:rPr>
        <w:t xml:space="preserve"> de la procédure civile à laquelle elle a été partie. Elle invoque à cet égard l</w:t>
      </w:r>
      <w:r w:rsidR="00870D9A" w:rsidRPr="00870D9A">
        <w:rPr>
          <w:lang w:val="fr-FR"/>
        </w:rPr>
        <w:t>’</w:t>
      </w:r>
      <w:r w:rsidR="003B1403" w:rsidRPr="00870D9A">
        <w:rPr>
          <w:lang w:val="fr-FR"/>
        </w:rPr>
        <w:t>article 6 § 1 de la Convention, dont les parties pertinentes en l</w:t>
      </w:r>
      <w:r w:rsidR="00870D9A" w:rsidRPr="00870D9A">
        <w:rPr>
          <w:lang w:val="fr-FR"/>
        </w:rPr>
        <w:t>’</w:t>
      </w:r>
      <w:r w:rsidR="003B1403" w:rsidRPr="00870D9A">
        <w:rPr>
          <w:lang w:val="fr-FR"/>
        </w:rPr>
        <w:t>espèce sont ainsi libellées :</w:t>
      </w:r>
    </w:p>
    <w:p w:rsidR="003B1403" w:rsidRPr="00870D9A" w:rsidRDefault="003B1403" w:rsidP="00870D9A">
      <w:pPr>
        <w:pStyle w:val="ECHRParaQuote"/>
        <w:rPr>
          <w:lang w:val="fr-FR"/>
        </w:rPr>
      </w:pPr>
      <w:r w:rsidRPr="00870D9A">
        <w:rPr>
          <w:lang w:val="fr-FR"/>
        </w:rPr>
        <w:t>« Toute personne a droit à ce que sa cause soit entendue (...) dans un délai raisonnable, par un tribunal (...), qui décidera (...) des contestations sur ses droits et obligations de caractère civil (...) »</w:t>
      </w:r>
    </w:p>
    <w:p w:rsidR="003B1403" w:rsidRPr="00870D9A" w:rsidRDefault="00044F36" w:rsidP="00870D9A">
      <w:pPr>
        <w:pStyle w:val="ECHRPara"/>
        <w:rPr>
          <w:szCs w:val="24"/>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26</w:t>
      </w:r>
      <w:r w:rsidRPr="00870D9A">
        <w:rPr>
          <w:lang w:val="fr-FR"/>
        </w:rPr>
        <w:fldChar w:fldCharType="end"/>
      </w:r>
      <w:r w:rsidRPr="00870D9A">
        <w:rPr>
          <w:lang w:val="fr-FR"/>
        </w:rPr>
        <w:t>.  </w:t>
      </w:r>
      <w:r w:rsidR="003B1403" w:rsidRPr="00870D9A">
        <w:rPr>
          <w:lang w:val="fr-FR"/>
        </w:rPr>
        <w:t>La requérante soutient que le rejet pour tardiveté de sa demande d</w:t>
      </w:r>
      <w:r w:rsidR="00870D9A" w:rsidRPr="00870D9A">
        <w:rPr>
          <w:lang w:val="fr-FR"/>
        </w:rPr>
        <w:t>’</w:t>
      </w:r>
      <w:r w:rsidR="003B1403" w:rsidRPr="00870D9A">
        <w:rPr>
          <w:lang w:val="fr-FR"/>
        </w:rPr>
        <w:t>indemnisation « Pinto » a méconnu la jurisprudence de la Cour selon laquelle la p</w:t>
      </w:r>
      <w:r w:rsidR="0099313E" w:rsidRPr="00870D9A">
        <w:rPr>
          <w:lang w:val="fr-FR"/>
        </w:rPr>
        <w:t>rocédure</w:t>
      </w:r>
      <w:r w:rsidR="003B1403" w:rsidRPr="00870D9A">
        <w:rPr>
          <w:lang w:val="fr-FR"/>
        </w:rPr>
        <w:t xml:space="preserve"> d</w:t>
      </w:r>
      <w:r w:rsidR="00870D9A" w:rsidRPr="00870D9A">
        <w:rPr>
          <w:lang w:val="fr-FR"/>
        </w:rPr>
        <w:t>’</w:t>
      </w:r>
      <w:r w:rsidR="003B1403" w:rsidRPr="00870D9A">
        <w:rPr>
          <w:lang w:val="fr-FR"/>
        </w:rPr>
        <w:t>exécution serait partie intégrante d</w:t>
      </w:r>
      <w:r w:rsidR="005B6721" w:rsidRPr="00870D9A">
        <w:rPr>
          <w:lang w:val="fr-FR"/>
        </w:rPr>
        <w:t>u « procès » au sens de l</w:t>
      </w:r>
      <w:r w:rsidR="00870D9A" w:rsidRPr="00870D9A">
        <w:rPr>
          <w:lang w:val="fr-FR"/>
        </w:rPr>
        <w:t>’</w:t>
      </w:r>
      <w:r w:rsidR="005B6721" w:rsidRPr="00870D9A">
        <w:rPr>
          <w:lang w:val="fr-FR"/>
        </w:rPr>
        <w:t>article 6 de la Convention.</w:t>
      </w:r>
      <w:r w:rsidR="003B1403" w:rsidRPr="00870D9A">
        <w:rPr>
          <w:lang w:val="fr-FR"/>
        </w:rPr>
        <w:t xml:space="preserve"> Ainsi, selon la requérante, si l</w:t>
      </w:r>
      <w:r w:rsidR="00870D9A" w:rsidRPr="00870D9A">
        <w:rPr>
          <w:lang w:val="fr-FR"/>
        </w:rPr>
        <w:t>’</w:t>
      </w:r>
      <w:r w:rsidR="003B1403" w:rsidRPr="00870D9A">
        <w:rPr>
          <w:lang w:val="fr-FR"/>
        </w:rPr>
        <w:t>on se fonde sur les principes mentionnés dans l</w:t>
      </w:r>
      <w:r w:rsidR="00870D9A" w:rsidRPr="00870D9A">
        <w:rPr>
          <w:lang w:val="fr-FR"/>
        </w:rPr>
        <w:t>’</w:t>
      </w:r>
      <w:r w:rsidR="003B1403" w:rsidRPr="00870D9A">
        <w:rPr>
          <w:lang w:val="fr-FR"/>
        </w:rPr>
        <w:t xml:space="preserve">arrêt </w:t>
      </w:r>
      <w:proofErr w:type="spellStart"/>
      <w:r w:rsidR="003B1403" w:rsidRPr="00870D9A">
        <w:rPr>
          <w:i/>
          <w:szCs w:val="24"/>
          <w:lang w:val="fr-FR"/>
        </w:rPr>
        <w:t>Cocchiarella</w:t>
      </w:r>
      <w:proofErr w:type="spellEnd"/>
      <w:r w:rsidR="003B1403" w:rsidRPr="00870D9A">
        <w:rPr>
          <w:szCs w:val="24"/>
          <w:lang w:val="fr-FR"/>
        </w:rPr>
        <w:t xml:space="preserve"> (précité, §§</w:t>
      </w:r>
      <w:proofErr w:type="gramStart"/>
      <w:r w:rsidR="00BC7129" w:rsidRPr="00870D9A">
        <w:rPr>
          <w:szCs w:val="24"/>
          <w:lang w:val="fr-FR"/>
        </w:rPr>
        <w:t> </w:t>
      </w:r>
      <w:r w:rsidR="003B1403" w:rsidRPr="00870D9A">
        <w:rPr>
          <w:szCs w:val="24"/>
          <w:lang w:val="fr-FR"/>
        </w:rPr>
        <w:t xml:space="preserve"> 87</w:t>
      </w:r>
      <w:proofErr w:type="gramEnd"/>
      <w:r w:rsidR="00BC7129" w:rsidRPr="00870D9A">
        <w:rPr>
          <w:szCs w:val="24"/>
          <w:lang w:val="fr-FR"/>
        </w:rPr>
        <w:noBreakHyphen/>
      </w:r>
      <w:r w:rsidR="003B1403" w:rsidRPr="00870D9A">
        <w:rPr>
          <w:szCs w:val="24"/>
          <w:lang w:val="fr-FR"/>
        </w:rPr>
        <w:t xml:space="preserve">90), </w:t>
      </w:r>
      <w:r w:rsidR="003B1403" w:rsidRPr="00870D9A">
        <w:rPr>
          <w:lang w:val="fr-FR"/>
        </w:rPr>
        <w:t>la « décision interne définitive », à partir de laquelle calculer le délai de six mois pour introduire la demande de satisfaction équitable aux termes de l</w:t>
      </w:r>
      <w:r w:rsidR="00870D9A" w:rsidRPr="00870D9A">
        <w:rPr>
          <w:lang w:val="fr-FR"/>
        </w:rPr>
        <w:t>’</w:t>
      </w:r>
      <w:r w:rsidR="003B1403" w:rsidRPr="00870D9A">
        <w:rPr>
          <w:lang w:val="fr-FR"/>
        </w:rPr>
        <w:t>article 4 de la loi n</w:t>
      </w:r>
      <w:r w:rsidR="003B1403" w:rsidRPr="00870D9A">
        <w:rPr>
          <w:vertAlign w:val="superscript"/>
          <w:lang w:val="fr-FR"/>
        </w:rPr>
        <w:t>o</w:t>
      </w:r>
      <w:r w:rsidR="003B1403" w:rsidRPr="00870D9A">
        <w:rPr>
          <w:lang w:val="fr-FR"/>
        </w:rPr>
        <w:t xml:space="preserve"> 89 de 2001, </w:t>
      </w:r>
      <w:r w:rsidR="0032450B" w:rsidRPr="00870D9A">
        <w:rPr>
          <w:lang w:val="fr-FR"/>
        </w:rPr>
        <w:t>devrai</w:t>
      </w:r>
      <w:r w:rsidR="003B1403" w:rsidRPr="00870D9A">
        <w:rPr>
          <w:lang w:val="fr-FR"/>
        </w:rPr>
        <w:t>t</w:t>
      </w:r>
      <w:r w:rsidR="0032450B" w:rsidRPr="00870D9A">
        <w:rPr>
          <w:lang w:val="fr-FR"/>
        </w:rPr>
        <w:t xml:space="preserve"> être</w:t>
      </w:r>
      <w:r w:rsidR="003B1403" w:rsidRPr="00870D9A">
        <w:rPr>
          <w:szCs w:val="24"/>
          <w:lang w:val="fr-FR"/>
        </w:rPr>
        <w:t xml:space="preserve"> la saisie-a</w:t>
      </w:r>
      <w:r w:rsidR="00615003" w:rsidRPr="00870D9A">
        <w:rPr>
          <w:szCs w:val="24"/>
          <w:lang w:val="fr-FR"/>
        </w:rPr>
        <w:t>ttribution</w:t>
      </w:r>
      <w:r w:rsidR="003B1403" w:rsidRPr="00870D9A">
        <w:rPr>
          <w:szCs w:val="24"/>
          <w:lang w:val="fr-FR"/>
        </w:rPr>
        <w:t xml:space="preserve"> du juge de l</w:t>
      </w:r>
      <w:r w:rsidR="00870D9A" w:rsidRPr="00870D9A">
        <w:rPr>
          <w:szCs w:val="24"/>
          <w:lang w:val="fr-FR"/>
        </w:rPr>
        <w:t>’</w:t>
      </w:r>
      <w:r w:rsidR="003B1403" w:rsidRPr="00870D9A">
        <w:rPr>
          <w:szCs w:val="24"/>
          <w:lang w:val="fr-FR"/>
        </w:rPr>
        <w:t>exécution du 2</w:t>
      </w:r>
      <w:r w:rsidR="005B6721" w:rsidRPr="00870D9A">
        <w:rPr>
          <w:szCs w:val="24"/>
          <w:lang w:val="fr-FR"/>
        </w:rPr>
        <w:t>5</w:t>
      </w:r>
      <w:r w:rsidR="003B1403" w:rsidRPr="00870D9A">
        <w:rPr>
          <w:szCs w:val="24"/>
          <w:lang w:val="fr-FR"/>
        </w:rPr>
        <w:t xml:space="preserve"> janvier 2005.</w:t>
      </w:r>
    </w:p>
    <w:p w:rsidR="00065E4B" w:rsidRPr="00870D9A" w:rsidRDefault="00065E4B"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27</w:t>
      </w:r>
      <w:r w:rsidRPr="00870D9A">
        <w:rPr>
          <w:lang w:val="fr-FR"/>
        </w:rPr>
        <w:fldChar w:fldCharType="end"/>
      </w:r>
      <w:r w:rsidRPr="00870D9A">
        <w:rPr>
          <w:lang w:val="fr-FR"/>
        </w:rPr>
        <w:t>.  L</w:t>
      </w:r>
      <w:r w:rsidRPr="00870D9A">
        <w:rPr>
          <w:rFonts w:cs="Times New Roman"/>
          <w:color w:val="000000"/>
          <w:szCs w:val="24"/>
          <w:lang w:val="fr-FR"/>
        </w:rPr>
        <w:t>a requérante dénonce également l</w:t>
      </w:r>
      <w:r w:rsidR="00870D9A" w:rsidRPr="00870D9A">
        <w:rPr>
          <w:rFonts w:cs="Times New Roman"/>
          <w:color w:val="000000"/>
          <w:szCs w:val="24"/>
          <w:lang w:val="fr-FR"/>
        </w:rPr>
        <w:t>’</w:t>
      </w:r>
      <w:r w:rsidRPr="00870D9A">
        <w:rPr>
          <w:rFonts w:cs="Times New Roman"/>
          <w:color w:val="000000"/>
          <w:szCs w:val="24"/>
          <w:lang w:val="fr-FR"/>
        </w:rPr>
        <w:t>impossibilité d</w:t>
      </w:r>
      <w:r w:rsidR="00870D9A" w:rsidRPr="00870D9A">
        <w:rPr>
          <w:rFonts w:cs="Times New Roman"/>
          <w:color w:val="000000"/>
          <w:szCs w:val="24"/>
          <w:lang w:val="fr-FR"/>
        </w:rPr>
        <w:t>’</w:t>
      </w:r>
      <w:r w:rsidRPr="00870D9A">
        <w:rPr>
          <w:rFonts w:cs="Times New Roman"/>
          <w:color w:val="000000"/>
          <w:szCs w:val="24"/>
          <w:lang w:val="fr-FR"/>
        </w:rPr>
        <w:t xml:space="preserve">avoir accès aux juridictions « Pinto » en raison du conflit entre la jurisprudence interne et les principes dégagés par la Cour sur le terrain du droit à un tribunal. </w:t>
      </w:r>
      <w:r w:rsidRPr="00870D9A">
        <w:rPr>
          <w:lang w:val="fr-FR"/>
        </w:rPr>
        <w:t>Elle invoque à ce titre les articles 1 et 13 de la Convention, ainsi libellés dans leurs parties pertinentes en l</w:t>
      </w:r>
      <w:r w:rsidR="00870D9A" w:rsidRPr="00870D9A">
        <w:rPr>
          <w:lang w:val="fr-FR"/>
        </w:rPr>
        <w:t>’</w:t>
      </w:r>
      <w:r w:rsidRPr="00870D9A">
        <w:rPr>
          <w:lang w:val="fr-FR"/>
        </w:rPr>
        <w:t>espèce :</w:t>
      </w:r>
    </w:p>
    <w:p w:rsidR="00065E4B" w:rsidRPr="00870D9A" w:rsidRDefault="00065E4B" w:rsidP="00870D9A">
      <w:pPr>
        <w:pStyle w:val="ECHRTitleCentre3"/>
        <w:rPr>
          <w:lang w:val="fr-FR"/>
        </w:rPr>
      </w:pPr>
      <w:r w:rsidRPr="00870D9A">
        <w:rPr>
          <w:lang w:val="fr-FR"/>
        </w:rPr>
        <w:t>Article 1</w:t>
      </w:r>
    </w:p>
    <w:p w:rsidR="00065E4B" w:rsidRPr="00870D9A" w:rsidRDefault="00065E4B" w:rsidP="00870D9A">
      <w:pPr>
        <w:pStyle w:val="ECHRParaQuote"/>
        <w:rPr>
          <w:lang w:val="fr-FR"/>
        </w:rPr>
      </w:pPr>
      <w:r w:rsidRPr="00870D9A">
        <w:rPr>
          <w:lang w:val="fr-FR"/>
        </w:rPr>
        <w:t>« Les Hautes Parties contractantes reconnaissent à toute personne relevant de leur juridiction les droits et libertés définis au titre I de la (...) Convention »</w:t>
      </w:r>
    </w:p>
    <w:p w:rsidR="00065E4B" w:rsidRPr="00870D9A" w:rsidRDefault="00065E4B" w:rsidP="00870D9A">
      <w:pPr>
        <w:pStyle w:val="ECHRTitleCentre3"/>
        <w:rPr>
          <w:lang w:val="fr-FR"/>
        </w:rPr>
      </w:pPr>
      <w:r w:rsidRPr="00870D9A">
        <w:rPr>
          <w:lang w:val="fr-FR"/>
        </w:rPr>
        <w:t>Article 13</w:t>
      </w:r>
    </w:p>
    <w:p w:rsidR="00065E4B" w:rsidRPr="00870D9A" w:rsidRDefault="00065E4B" w:rsidP="00870D9A">
      <w:pPr>
        <w:pStyle w:val="ECHRParaQuote"/>
        <w:rPr>
          <w:lang w:val="fr-FR"/>
        </w:rPr>
      </w:pPr>
      <w:r w:rsidRPr="00870D9A">
        <w:rPr>
          <w:lang w:val="fr-FR"/>
        </w:rPr>
        <w:t>« Toute personne dont les droits et libertés reconnus dans la (...) Convention ont été violés, a droit à l</w:t>
      </w:r>
      <w:r w:rsidR="00870D9A" w:rsidRPr="00870D9A">
        <w:rPr>
          <w:lang w:val="fr-FR"/>
        </w:rPr>
        <w:t>’</w:t>
      </w:r>
      <w:r w:rsidRPr="00870D9A">
        <w:rPr>
          <w:lang w:val="fr-FR"/>
        </w:rPr>
        <w:t>octroi d</w:t>
      </w:r>
      <w:r w:rsidR="00870D9A" w:rsidRPr="00870D9A">
        <w:rPr>
          <w:lang w:val="fr-FR"/>
        </w:rPr>
        <w:t>’</w:t>
      </w:r>
      <w:r w:rsidRPr="00870D9A">
        <w:rPr>
          <w:lang w:val="fr-FR"/>
        </w:rPr>
        <w:t>un recours effectif devant une instance nationale (...). »</w:t>
      </w:r>
    </w:p>
    <w:p w:rsidR="0094007A" w:rsidRPr="00870D9A" w:rsidRDefault="00065E4B" w:rsidP="00870D9A">
      <w:pPr>
        <w:pStyle w:val="ECHRPara"/>
        <w:rPr>
          <w:b/>
          <w:szCs w:val="24"/>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28</w:t>
      </w:r>
      <w:r w:rsidRPr="00870D9A">
        <w:rPr>
          <w:lang w:val="fr-FR"/>
        </w:rPr>
        <w:fldChar w:fldCharType="end"/>
      </w:r>
      <w:r w:rsidRPr="00870D9A">
        <w:rPr>
          <w:lang w:val="fr-FR"/>
        </w:rPr>
        <w:t>.  Maîtresse de la qualification juridique des faits (</w:t>
      </w:r>
      <w:r w:rsidRPr="00870D9A">
        <w:rPr>
          <w:i/>
          <w:lang w:val="fr-FR"/>
        </w:rPr>
        <w:t xml:space="preserve">Aksu c. Turquie </w:t>
      </w:r>
      <w:r w:rsidRPr="00870D9A">
        <w:rPr>
          <w:lang w:val="fr-FR"/>
        </w:rPr>
        <w:t>[GC], n</w:t>
      </w:r>
      <w:r w:rsidRPr="00870D9A">
        <w:rPr>
          <w:vertAlign w:val="superscript"/>
          <w:lang w:val="fr-FR"/>
        </w:rPr>
        <w:t>os</w:t>
      </w:r>
      <w:r w:rsidRPr="00870D9A">
        <w:rPr>
          <w:lang w:val="fr-FR"/>
        </w:rPr>
        <w:t xml:space="preserve"> 4149/04 et 41029/04</w:t>
      </w:r>
      <w:r w:rsidRPr="00870D9A">
        <w:rPr>
          <w:snapToGrid w:val="0"/>
          <w:szCs w:val="24"/>
          <w:lang w:val="fr-FR"/>
        </w:rPr>
        <w:t xml:space="preserve">, § 43, </w:t>
      </w:r>
      <w:r w:rsidRPr="00870D9A">
        <w:rPr>
          <w:snapToGrid w:val="0"/>
          <w:lang w:val="fr-FR"/>
        </w:rPr>
        <w:t xml:space="preserve">CEDH 2012, </w:t>
      </w:r>
      <w:proofErr w:type="spellStart"/>
      <w:r w:rsidRPr="00870D9A">
        <w:rPr>
          <w:i/>
          <w:lang w:val="fr-FR"/>
        </w:rPr>
        <w:t>Halil</w:t>
      </w:r>
      <w:proofErr w:type="spellEnd"/>
      <w:r w:rsidRPr="00870D9A">
        <w:rPr>
          <w:i/>
          <w:lang w:val="fr-FR"/>
        </w:rPr>
        <w:t xml:space="preserve"> </w:t>
      </w:r>
      <w:proofErr w:type="spellStart"/>
      <w:r w:rsidRPr="00870D9A">
        <w:rPr>
          <w:i/>
          <w:lang w:val="fr-FR"/>
        </w:rPr>
        <w:t>Yüksel</w:t>
      </w:r>
      <w:proofErr w:type="spellEnd"/>
      <w:r w:rsidRPr="00870D9A">
        <w:rPr>
          <w:i/>
          <w:lang w:val="fr-FR"/>
        </w:rPr>
        <w:t xml:space="preserve"> </w:t>
      </w:r>
      <w:proofErr w:type="spellStart"/>
      <w:r w:rsidRPr="00870D9A">
        <w:rPr>
          <w:i/>
          <w:lang w:val="fr-FR"/>
        </w:rPr>
        <w:t>Akıncı</w:t>
      </w:r>
      <w:proofErr w:type="spellEnd"/>
      <w:r w:rsidRPr="00870D9A">
        <w:rPr>
          <w:i/>
          <w:lang w:val="fr-FR"/>
        </w:rPr>
        <w:t> c. Turquie</w:t>
      </w:r>
      <w:r w:rsidRPr="00870D9A">
        <w:rPr>
          <w:lang w:val="fr-FR"/>
        </w:rPr>
        <w:t>, n</w:t>
      </w:r>
      <w:r w:rsidRPr="00870D9A">
        <w:rPr>
          <w:vertAlign w:val="superscript"/>
          <w:lang w:val="fr-FR"/>
        </w:rPr>
        <w:t>o</w:t>
      </w:r>
      <w:r w:rsidRPr="00870D9A">
        <w:rPr>
          <w:lang w:val="fr-FR"/>
        </w:rPr>
        <w:t xml:space="preserve"> 39125/04</w:t>
      </w:r>
      <w:r w:rsidRPr="00870D9A">
        <w:rPr>
          <w:snapToGrid w:val="0"/>
          <w:lang w:val="fr-FR"/>
        </w:rPr>
        <w:t xml:space="preserve">, § 54, 11 </w:t>
      </w:r>
      <w:r w:rsidRPr="00870D9A">
        <w:rPr>
          <w:lang w:val="fr-FR"/>
        </w:rPr>
        <w:t>décembre</w:t>
      </w:r>
      <w:r w:rsidRPr="00870D9A">
        <w:rPr>
          <w:snapToGrid w:val="0"/>
          <w:lang w:val="fr-FR"/>
        </w:rPr>
        <w:t xml:space="preserve"> 2012, et </w:t>
      </w:r>
      <w:r w:rsidRPr="00870D9A">
        <w:rPr>
          <w:i/>
          <w:lang w:val="fr-FR"/>
        </w:rPr>
        <w:t>Guerra et autres c. Italie</w:t>
      </w:r>
      <w:r w:rsidRPr="00870D9A">
        <w:rPr>
          <w:lang w:val="fr-FR"/>
        </w:rPr>
        <w:t xml:space="preserve">, 19 février 1998, § 44, </w:t>
      </w:r>
      <w:r w:rsidRPr="00870D9A">
        <w:rPr>
          <w:i/>
          <w:lang w:val="fr-FR"/>
        </w:rPr>
        <w:t>Recueil des arrêts et décisions</w:t>
      </w:r>
      <w:r w:rsidRPr="00870D9A">
        <w:rPr>
          <w:lang w:val="fr-FR"/>
        </w:rPr>
        <w:t xml:space="preserve"> 1998</w:t>
      </w:r>
      <w:r w:rsidRPr="00870D9A">
        <w:rPr>
          <w:lang w:val="fr-FR"/>
        </w:rPr>
        <w:noBreakHyphen/>
        <w:t>I), la Cour estime qu</w:t>
      </w:r>
      <w:r w:rsidR="00870D9A" w:rsidRPr="00870D9A">
        <w:rPr>
          <w:lang w:val="fr-FR"/>
        </w:rPr>
        <w:t>’</w:t>
      </w:r>
      <w:r w:rsidRPr="00870D9A">
        <w:rPr>
          <w:lang w:val="fr-FR"/>
        </w:rPr>
        <w:t>il y a lieu d</w:t>
      </w:r>
      <w:r w:rsidR="00870D9A" w:rsidRPr="00870D9A">
        <w:rPr>
          <w:lang w:val="fr-FR"/>
        </w:rPr>
        <w:t>’</w:t>
      </w:r>
      <w:r w:rsidRPr="00870D9A">
        <w:rPr>
          <w:lang w:val="fr-FR"/>
        </w:rPr>
        <w:t>examiner ces griefs uniquement sur le terrain de l</w:t>
      </w:r>
      <w:r w:rsidR="00870D9A" w:rsidRPr="00870D9A">
        <w:rPr>
          <w:lang w:val="fr-FR"/>
        </w:rPr>
        <w:t>’</w:t>
      </w:r>
      <w:r w:rsidR="00AC208E" w:rsidRPr="00870D9A">
        <w:rPr>
          <w:lang w:val="fr-FR"/>
        </w:rPr>
        <w:t>article 6 § 1 de la Convention en ce qui concerne le</w:t>
      </w:r>
      <w:r w:rsidRPr="00870D9A">
        <w:rPr>
          <w:lang w:val="fr-FR"/>
        </w:rPr>
        <w:t xml:space="preserve"> droit à un procès dans un délai raisonnable.</w:t>
      </w:r>
    </w:p>
    <w:p w:rsidR="00E77CB3" w:rsidRPr="00870D9A" w:rsidRDefault="00E77CB3" w:rsidP="00870D9A">
      <w:pPr>
        <w:pStyle w:val="ECHRHeading2"/>
        <w:rPr>
          <w:lang w:val="fr-FR"/>
        </w:rPr>
      </w:pPr>
      <w:r w:rsidRPr="00870D9A">
        <w:rPr>
          <w:lang w:val="fr-FR"/>
        </w:rPr>
        <w:lastRenderedPageBreak/>
        <w:t>A.</w:t>
      </w:r>
      <w:proofErr w:type="gramStart"/>
      <w:r w:rsidRPr="00870D9A">
        <w:rPr>
          <w:lang w:val="fr-FR"/>
        </w:rPr>
        <w:t>  Sur</w:t>
      </w:r>
      <w:proofErr w:type="gramEnd"/>
      <w:r w:rsidRPr="00870D9A">
        <w:rPr>
          <w:lang w:val="fr-FR"/>
        </w:rPr>
        <w:t xml:space="preserve"> la recevabilité</w:t>
      </w:r>
    </w:p>
    <w:p w:rsidR="003B1403" w:rsidRPr="00870D9A" w:rsidRDefault="003B1403" w:rsidP="00870D9A">
      <w:pPr>
        <w:pStyle w:val="ECHRHeading3"/>
        <w:rPr>
          <w:lang w:val="fr-FR"/>
        </w:rPr>
      </w:pPr>
      <w:r w:rsidRPr="00870D9A">
        <w:rPr>
          <w:lang w:val="fr-FR"/>
        </w:rPr>
        <w:t>1.  Sur la qualité de victime</w:t>
      </w:r>
    </w:p>
    <w:p w:rsidR="003B1403" w:rsidRPr="00870D9A" w:rsidRDefault="003B1403" w:rsidP="00870D9A">
      <w:pPr>
        <w:pStyle w:val="ECHRHeading4"/>
        <w:rPr>
          <w:lang w:val="fr-FR"/>
        </w:rPr>
      </w:pPr>
      <w:r w:rsidRPr="00870D9A">
        <w:rPr>
          <w:lang w:val="fr-FR"/>
        </w:rPr>
        <w:t>a)  Arguments des parties</w:t>
      </w:r>
    </w:p>
    <w:p w:rsidR="003B1403" w:rsidRPr="00870D9A" w:rsidRDefault="008011A7"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29</w:t>
      </w:r>
      <w:r w:rsidRPr="00870D9A">
        <w:rPr>
          <w:lang w:val="fr-FR"/>
        </w:rPr>
        <w:fldChar w:fldCharType="end"/>
      </w:r>
      <w:r w:rsidRPr="00870D9A">
        <w:rPr>
          <w:lang w:val="fr-FR"/>
        </w:rPr>
        <w:t>.  </w:t>
      </w:r>
      <w:r w:rsidR="003B1403" w:rsidRPr="00870D9A">
        <w:rPr>
          <w:lang w:val="fr-FR"/>
        </w:rPr>
        <w:t>Renvoyant à la décision</w:t>
      </w:r>
      <w:r w:rsidR="003B1403" w:rsidRPr="00870D9A">
        <w:rPr>
          <w:i/>
          <w:lang w:val="fr-FR"/>
        </w:rPr>
        <w:t xml:space="preserve"> </w:t>
      </w:r>
      <w:proofErr w:type="spellStart"/>
      <w:r w:rsidR="003B1403" w:rsidRPr="00870D9A">
        <w:rPr>
          <w:i/>
          <w:lang w:val="fr-FR"/>
        </w:rPr>
        <w:t>Fazio</w:t>
      </w:r>
      <w:proofErr w:type="spellEnd"/>
      <w:r w:rsidR="003B1403" w:rsidRPr="00870D9A">
        <w:rPr>
          <w:i/>
          <w:lang w:val="fr-FR"/>
        </w:rPr>
        <w:t xml:space="preserve"> c. Italie </w:t>
      </w:r>
      <w:r w:rsidR="003B1403" w:rsidRPr="00870D9A">
        <w:rPr>
          <w:lang w:val="fr-FR"/>
        </w:rPr>
        <w:t xml:space="preserve">((déc.), 18 juin 2013), le Gouvernement soutient que la requérante, intervenue </w:t>
      </w:r>
      <w:r w:rsidR="003B1403" w:rsidRPr="00870D9A">
        <w:rPr>
          <w:i/>
          <w:lang w:val="fr-FR"/>
        </w:rPr>
        <w:t xml:space="preserve">de </w:t>
      </w:r>
      <w:proofErr w:type="spellStart"/>
      <w:r w:rsidR="003B1403" w:rsidRPr="00870D9A">
        <w:rPr>
          <w:i/>
          <w:lang w:val="fr-FR"/>
        </w:rPr>
        <w:t>iure</w:t>
      </w:r>
      <w:proofErr w:type="spellEnd"/>
      <w:r w:rsidR="003B1403" w:rsidRPr="00870D9A">
        <w:rPr>
          <w:i/>
          <w:lang w:val="fr-FR"/>
        </w:rPr>
        <w:t xml:space="preserve"> </w:t>
      </w:r>
      <w:proofErr w:type="spellStart"/>
      <w:r w:rsidR="003B1403" w:rsidRPr="00870D9A">
        <w:rPr>
          <w:i/>
          <w:lang w:val="fr-FR"/>
        </w:rPr>
        <w:t>ereditario</w:t>
      </w:r>
      <w:proofErr w:type="spellEnd"/>
      <w:r w:rsidR="003B1403" w:rsidRPr="00870D9A">
        <w:rPr>
          <w:lang w:val="fr-FR"/>
        </w:rPr>
        <w:t xml:space="preserve"> dans la procédure le 10 mars 1999, a été partie à celle-ci uniquement entre cette date et le 10 décembre 2002, date du dépôt de la décision du tribunal de Naples. Il estime par conséquent qu</w:t>
      </w:r>
      <w:r w:rsidR="00870D9A" w:rsidRPr="00870D9A">
        <w:rPr>
          <w:lang w:val="fr-FR"/>
        </w:rPr>
        <w:t>’</w:t>
      </w:r>
      <w:r w:rsidR="003B1403" w:rsidRPr="00870D9A">
        <w:rPr>
          <w:lang w:val="fr-FR"/>
        </w:rPr>
        <w:t>elle ne saurait être considérée victime de la durée de la procédure prises dans sa globalité.</w:t>
      </w:r>
    </w:p>
    <w:p w:rsidR="003B1403" w:rsidRPr="00870D9A" w:rsidRDefault="003B1403"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30</w:t>
      </w:r>
      <w:r w:rsidRPr="00870D9A">
        <w:rPr>
          <w:lang w:val="fr-FR"/>
        </w:rPr>
        <w:fldChar w:fldCharType="end"/>
      </w:r>
      <w:r w:rsidRPr="00870D9A">
        <w:rPr>
          <w:lang w:val="fr-FR"/>
        </w:rPr>
        <w:t>.  La requérante conteste la thèse du Gouvernement. Elle argue que, pendant toute la procédure interne, elle a agi en son propre nom et en qualité d</w:t>
      </w:r>
      <w:r w:rsidR="00870D9A" w:rsidRPr="00870D9A">
        <w:rPr>
          <w:lang w:val="fr-FR"/>
        </w:rPr>
        <w:t>’</w:t>
      </w:r>
      <w:r w:rsidRPr="00870D9A">
        <w:rPr>
          <w:lang w:val="fr-FR"/>
        </w:rPr>
        <w:t>héritière.</w:t>
      </w:r>
    </w:p>
    <w:p w:rsidR="003B1403" w:rsidRPr="00870D9A" w:rsidRDefault="003B1403" w:rsidP="00870D9A">
      <w:pPr>
        <w:pStyle w:val="ECHRHeading4"/>
        <w:rPr>
          <w:lang w:val="fr-FR"/>
        </w:rPr>
      </w:pPr>
      <w:r w:rsidRPr="00870D9A">
        <w:rPr>
          <w:lang w:val="fr-FR"/>
        </w:rPr>
        <w:t>b)  Appréciation de la Cour</w:t>
      </w:r>
    </w:p>
    <w:p w:rsidR="003B1403" w:rsidRPr="00870D9A" w:rsidRDefault="003B1403"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31</w:t>
      </w:r>
      <w:r w:rsidRPr="00870D9A">
        <w:rPr>
          <w:lang w:val="fr-FR"/>
        </w:rPr>
        <w:fldChar w:fldCharType="end"/>
      </w:r>
      <w:r w:rsidRPr="00870D9A">
        <w:rPr>
          <w:lang w:val="fr-FR"/>
        </w:rPr>
        <w:t>.  La Cour observe d</w:t>
      </w:r>
      <w:r w:rsidR="00870D9A" w:rsidRPr="00870D9A">
        <w:rPr>
          <w:lang w:val="fr-FR"/>
        </w:rPr>
        <w:t>’</w:t>
      </w:r>
      <w:r w:rsidRPr="00870D9A">
        <w:rPr>
          <w:lang w:val="fr-FR"/>
        </w:rPr>
        <w:t>emblée que, en dépit de l</w:t>
      </w:r>
      <w:r w:rsidR="00870D9A" w:rsidRPr="00870D9A">
        <w:rPr>
          <w:lang w:val="fr-FR"/>
        </w:rPr>
        <w:t>’</w:t>
      </w:r>
      <w:r w:rsidRPr="00870D9A">
        <w:rPr>
          <w:lang w:val="fr-FR"/>
        </w:rPr>
        <w:t xml:space="preserve">affirmation du Gouvernement, la décision </w:t>
      </w:r>
      <w:proofErr w:type="spellStart"/>
      <w:r w:rsidRPr="00870D9A">
        <w:rPr>
          <w:i/>
          <w:lang w:val="fr-FR"/>
        </w:rPr>
        <w:t>Fazio</w:t>
      </w:r>
      <w:proofErr w:type="spellEnd"/>
      <w:r w:rsidRPr="00870D9A">
        <w:rPr>
          <w:i/>
          <w:lang w:val="fr-FR"/>
        </w:rPr>
        <w:t xml:space="preserve"> </w:t>
      </w:r>
      <w:r w:rsidRPr="00870D9A">
        <w:rPr>
          <w:lang w:val="fr-FR"/>
        </w:rPr>
        <w:t>n</w:t>
      </w:r>
      <w:r w:rsidR="00870D9A" w:rsidRPr="00870D9A">
        <w:rPr>
          <w:lang w:val="fr-FR"/>
        </w:rPr>
        <w:t>’</w:t>
      </w:r>
      <w:r w:rsidRPr="00870D9A">
        <w:rPr>
          <w:lang w:val="fr-FR"/>
        </w:rPr>
        <w:t>est pas pertinente en l</w:t>
      </w:r>
      <w:r w:rsidR="00870D9A" w:rsidRPr="00870D9A">
        <w:rPr>
          <w:lang w:val="fr-FR"/>
        </w:rPr>
        <w:t>’</w:t>
      </w:r>
      <w:r w:rsidRPr="00870D9A">
        <w:rPr>
          <w:lang w:val="fr-FR"/>
        </w:rPr>
        <w:t>espèce. En effet, dans cette affaire, la Cour a conclu à l</w:t>
      </w:r>
      <w:r w:rsidR="00870D9A" w:rsidRPr="00870D9A">
        <w:rPr>
          <w:lang w:val="fr-FR"/>
        </w:rPr>
        <w:t>’</w:t>
      </w:r>
      <w:r w:rsidRPr="00870D9A">
        <w:rPr>
          <w:lang w:val="fr-FR"/>
        </w:rPr>
        <w:t>absence de la qualité de victime des requérants, faute pour ces derniers de s</w:t>
      </w:r>
      <w:r w:rsidR="00870D9A" w:rsidRPr="00870D9A">
        <w:rPr>
          <w:lang w:val="fr-FR"/>
        </w:rPr>
        <w:t>’</w:t>
      </w:r>
      <w:r w:rsidRPr="00870D9A">
        <w:rPr>
          <w:lang w:val="fr-FR"/>
        </w:rPr>
        <w:t>être constitués</w:t>
      </w:r>
      <w:r w:rsidR="00D74D0D" w:rsidRPr="00870D9A">
        <w:rPr>
          <w:lang w:val="fr-FR"/>
        </w:rPr>
        <w:t>, en leur qualité d</w:t>
      </w:r>
      <w:r w:rsidR="00870D9A" w:rsidRPr="00870D9A">
        <w:rPr>
          <w:lang w:val="fr-FR"/>
        </w:rPr>
        <w:t>’</w:t>
      </w:r>
      <w:r w:rsidR="00D74D0D" w:rsidRPr="00870D9A">
        <w:rPr>
          <w:lang w:val="fr-FR"/>
        </w:rPr>
        <w:t>héritiers,</w:t>
      </w:r>
      <w:r w:rsidR="006737A0" w:rsidRPr="00870D9A">
        <w:rPr>
          <w:lang w:val="fr-FR"/>
        </w:rPr>
        <w:t xml:space="preserve"> comme</w:t>
      </w:r>
      <w:r w:rsidRPr="00870D9A">
        <w:rPr>
          <w:lang w:val="fr-FR"/>
        </w:rPr>
        <w:t xml:space="preserve"> parties à la procédure. Dans la présente affaire,</w:t>
      </w:r>
      <w:r w:rsidR="00EC5C5A" w:rsidRPr="00870D9A">
        <w:rPr>
          <w:lang w:val="fr-FR"/>
        </w:rPr>
        <w:t xml:space="preserve"> au contraire,</w:t>
      </w:r>
      <w:r w:rsidRPr="00870D9A">
        <w:rPr>
          <w:lang w:val="fr-FR"/>
        </w:rPr>
        <w:t xml:space="preserve"> la requérante a agi devant les juridictions internes en son propre nom et en tant qu</w:t>
      </w:r>
      <w:r w:rsidR="00870D9A" w:rsidRPr="00870D9A">
        <w:rPr>
          <w:lang w:val="fr-FR"/>
        </w:rPr>
        <w:t>’</w:t>
      </w:r>
      <w:r w:rsidRPr="00870D9A">
        <w:rPr>
          <w:lang w:val="fr-FR"/>
        </w:rPr>
        <w:t>héritière de sa mère (paragraphe 7 ci-dessus).</w:t>
      </w:r>
    </w:p>
    <w:bookmarkStart w:id="8" w:name="DE_IURE_HEREDITATIS"/>
    <w:p w:rsidR="003B1403" w:rsidRPr="00870D9A" w:rsidRDefault="003B1403"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32</w:t>
      </w:r>
      <w:r w:rsidRPr="00870D9A">
        <w:rPr>
          <w:lang w:val="fr-FR"/>
        </w:rPr>
        <w:fldChar w:fldCharType="end"/>
      </w:r>
      <w:bookmarkEnd w:id="8"/>
      <w:r w:rsidRPr="00870D9A">
        <w:rPr>
          <w:lang w:val="fr-FR"/>
        </w:rPr>
        <w:t>.  La Cour rappelle aussi sa jurisprudence relative à l</w:t>
      </w:r>
      <w:r w:rsidR="00870D9A" w:rsidRPr="00870D9A">
        <w:rPr>
          <w:lang w:val="fr-FR"/>
        </w:rPr>
        <w:t>’</w:t>
      </w:r>
      <w:r w:rsidRPr="00870D9A">
        <w:rPr>
          <w:lang w:val="fr-FR"/>
        </w:rPr>
        <w:t>intervention des tiers dans des procédures civiles aux fins du calcul de la durée de la procédure. Selon cette jurisprudence, lorsqu</w:t>
      </w:r>
      <w:r w:rsidR="00870D9A" w:rsidRPr="00870D9A">
        <w:rPr>
          <w:lang w:val="fr-FR"/>
        </w:rPr>
        <w:t>’</w:t>
      </w:r>
      <w:r w:rsidRPr="00870D9A">
        <w:rPr>
          <w:lang w:val="fr-FR"/>
        </w:rPr>
        <w:t>un requérant est intervenu dans la procédure nationale uniquement en son propre nom, la période à prendre en considération court à partir de cette date, tandis que, lorsqu</w:t>
      </w:r>
      <w:r w:rsidR="00870D9A" w:rsidRPr="00870D9A">
        <w:rPr>
          <w:lang w:val="fr-FR"/>
        </w:rPr>
        <w:t>’</w:t>
      </w:r>
      <w:r w:rsidRPr="00870D9A">
        <w:rPr>
          <w:lang w:val="fr-FR"/>
        </w:rPr>
        <w:t>un requérant se constitue partie au litige en tant qu</w:t>
      </w:r>
      <w:r w:rsidR="00870D9A" w:rsidRPr="00870D9A">
        <w:rPr>
          <w:lang w:val="fr-FR"/>
        </w:rPr>
        <w:t>’</w:t>
      </w:r>
      <w:r w:rsidRPr="00870D9A">
        <w:rPr>
          <w:lang w:val="fr-FR"/>
        </w:rPr>
        <w:t>héritier, il peut se plaindre de toute la durée de la procédure (voir, parmi d</w:t>
      </w:r>
      <w:r w:rsidR="00870D9A" w:rsidRPr="00870D9A">
        <w:rPr>
          <w:lang w:val="fr-FR"/>
        </w:rPr>
        <w:t>’</w:t>
      </w:r>
      <w:r w:rsidRPr="00870D9A">
        <w:rPr>
          <w:lang w:val="fr-FR"/>
        </w:rPr>
        <w:t xml:space="preserve">autres, </w:t>
      </w:r>
      <w:proofErr w:type="spellStart"/>
      <w:r w:rsidRPr="00870D9A">
        <w:rPr>
          <w:i/>
          <w:szCs w:val="24"/>
          <w:lang w:val="fr-FR"/>
        </w:rPr>
        <w:t>Scordino</w:t>
      </w:r>
      <w:proofErr w:type="spellEnd"/>
      <w:r w:rsidRPr="00870D9A">
        <w:rPr>
          <w:i/>
          <w:szCs w:val="24"/>
          <w:lang w:val="fr-FR"/>
        </w:rPr>
        <w:t xml:space="preserve"> c. </w:t>
      </w:r>
      <w:r w:rsidRPr="00870D9A">
        <w:rPr>
          <w:i/>
          <w:spacing w:val="-2"/>
          <w:szCs w:val="24"/>
          <w:lang w:val="fr-FR"/>
        </w:rPr>
        <w:t>Italie (n</w:t>
      </w:r>
      <w:r w:rsidRPr="00870D9A">
        <w:rPr>
          <w:i/>
          <w:spacing w:val="-2"/>
          <w:szCs w:val="24"/>
          <w:vertAlign w:val="superscript"/>
          <w:lang w:val="fr-FR"/>
        </w:rPr>
        <w:t>o</w:t>
      </w:r>
      <w:r w:rsidRPr="00870D9A">
        <w:rPr>
          <w:i/>
          <w:spacing w:val="-2"/>
          <w:szCs w:val="24"/>
          <w:lang w:val="fr-FR"/>
        </w:rPr>
        <w:t> 1)</w:t>
      </w:r>
      <w:r w:rsidRPr="00870D9A">
        <w:rPr>
          <w:szCs w:val="24"/>
          <w:lang w:val="fr-FR"/>
        </w:rPr>
        <w:t xml:space="preserve"> [GC], n</w:t>
      </w:r>
      <w:r w:rsidRPr="00870D9A">
        <w:rPr>
          <w:szCs w:val="24"/>
          <w:vertAlign w:val="superscript"/>
          <w:lang w:val="fr-FR"/>
        </w:rPr>
        <w:t>o</w:t>
      </w:r>
      <w:r w:rsidRPr="00870D9A">
        <w:rPr>
          <w:szCs w:val="24"/>
          <w:lang w:val="fr-FR"/>
        </w:rPr>
        <w:t> 36813/97, § 220, CEDH 2006</w:t>
      </w:r>
      <w:r w:rsidRPr="00870D9A">
        <w:rPr>
          <w:szCs w:val="24"/>
          <w:lang w:val="fr-FR"/>
        </w:rPr>
        <w:noBreakHyphen/>
        <w:t xml:space="preserve">V, et </w:t>
      </w:r>
      <w:proofErr w:type="spellStart"/>
      <w:r w:rsidRPr="00870D9A">
        <w:rPr>
          <w:i/>
          <w:szCs w:val="24"/>
          <w:lang w:val="fr-FR"/>
        </w:rPr>
        <w:t>Cocchiarella</w:t>
      </w:r>
      <w:proofErr w:type="spellEnd"/>
      <w:r w:rsidRPr="00870D9A">
        <w:rPr>
          <w:szCs w:val="24"/>
          <w:lang w:val="fr-FR"/>
        </w:rPr>
        <w:t>, précité, § 113</w:t>
      </w:r>
      <w:r w:rsidRPr="00870D9A">
        <w:rPr>
          <w:lang w:val="fr-FR"/>
        </w:rPr>
        <w:t>).</w:t>
      </w:r>
    </w:p>
    <w:p w:rsidR="00EC5C5A" w:rsidRPr="00870D9A" w:rsidRDefault="003B1403"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33</w:t>
      </w:r>
      <w:r w:rsidRPr="00870D9A">
        <w:rPr>
          <w:lang w:val="fr-FR"/>
        </w:rPr>
        <w:fldChar w:fldCharType="end"/>
      </w:r>
      <w:r w:rsidRPr="00870D9A">
        <w:rPr>
          <w:lang w:val="fr-FR"/>
        </w:rPr>
        <w:t>.  Par conséquent, la Cour rejette cette exception du Gouvernement et estime que la requérante peut se prétendre « victime » au sens de l</w:t>
      </w:r>
      <w:r w:rsidR="00870D9A" w:rsidRPr="00870D9A">
        <w:rPr>
          <w:lang w:val="fr-FR"/>
        </w:rPr>
        <w:t>’</w:t>
      </w:r>
      <w:r w:rsidRPr="00870D9A">
        <w:rPr>
          <w:lang w:val="fr-FR"/>
        </w:rPr>
        <w:t>article 34 de la Convention.</w:t>
      </w:r>
    </w:p>
    <w:p w:rsidR="00EC5C5A" w:rsidRPr="00870D9A" w:rsidRDefault="00EC5C5A" w:rsidP="00870D9A">
      <w:pPr>
        <w:pStyle w:val="ECHRHeading3"/>
        <w:rPr>
          <w:lang w:val="fr-FR"/>
        </w:rPr>
      </w:pPr>
      <w:r w:rsidRPr="00870D9A">
        <w:rPr>
          <w:lang w:val="fr-FR"/>
        </w:rPr>
        <w:t>2.  Sur la tardiveté de la requête</w:t>
      </w:r>
    </w:p>
    <w:p w:rsidR="00880F88" w:rsidRPr="00870D9A" w:rsidRDefault="00880F88" w:rsidP="00870D9A">
      <w:pPr>
        <w:pStyle w:val="ECHRHeading4"/>
        <w:rPr>
          <w:lang w:val="fr-FR"/>
        </w:rPr>
      </w:pPr>
      <w:r w:rsidRPr="00870D9A">
        <w:rPr>
          <w:lang w:val="fr-FR"/>
        </w:rPr>
        <w:t>a)  Arguments des parties</w:t>
      </w:r>
    </w:p>
    <w:p w:rsidR="00EC5C5A" w:rsidRPr="00870D9A" w:rsidRDefault="00EC5C5A"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34</w:t>
      </w:r>
      <w:r w:rsidRPr="00870D9A">
        <w:rPr>
          <w:lang w:val="fr-FR"/>
        </w:rPr>
        <w:fldChar w:fldCharType="end"/>
      </w:r>
      <w:r w:rsidRPr="00870D9A">
        <w:rPr>
          <w:lang w:val="fr-FR"/>
        </w:rPr>
        <w:t>.  Le Gouvernement soulève également une exception de tardiveté de la requête, estimant que la requérante se plaint</w:t>
      </w:r>
      <w:r w:rsidR="006737A0" w:rsidRPr="00870D9A">
        <w:rPr>
          <w:lang w:val="fr-FR"/>
        </w:rPr>
        <w:t xml:space="preserve"> en substance</w:t>
      </w:r>
      <w:r w:rsidRPr="00870D9A">
        <w:rPr>
          <w:lang w:val="fr-FR"/>
        </w:rPr>
        <w:t xml:space="preserve"> de la seule durée de la procédure au fond. </w:t>
      </w:r>
      <w:proofErr w:type="gramStart"/>
      <w:r w:rsidR="00470AF8" w:rsidRPr="00870D9A">
        <w:rPr>
          <w:lang w:val="fr-FR"/>
        </w:rPr>
        <w:t>En effet</w:t>
      </w:r>
      <w:r w:rsidRPr="00870D9A">
        <w:rPr>
          <w:lang w:val="fr-FR"/>
        </w:rPr>
        <w:t>, d</w:t>
      </w:r>
      <w:r w:rsidR="00870D9A" w:rsidRPr="00870D9A">
        <w:rPr>
          <w:lang w:val="fr-FR"/>
        </w:rPr>
        <w:t>’</w:t>
      </w:r>
      <w:r w:rsidRPr="00870D9A">
        <w:rPr>
          <w:lang w:val="fr-FR"/>
        </w:rPr>
        <w:t>après le Gouvernement, la requérante</w:t>
      </w:r>
      <w:r w:rsidR="00470AF8" w:rsidRPr="00870D9A">
        <w:rPr>
          <w:lang w:val="fr-FR"/>
        </w:rPr>
        <w:t>, au lieu de</w:t>
      </w:r>
      <w:r w:rsidRPr="00870D9A">
        <w:rPr>
          <w:lang w:val="fr-FR"/>
        </w:rPr>
        <w:t xml:space="preserve"> présenter sa demande d</w:t>
      </w:r>
      <w:r w:rsidR="00870D9A" w:rsidRPr="00870D9A">
        <w:rPr>
          <w:lang w:val="fr-FR"/>
        </w:rPr>
        <w:t>’</w:t>
      </w:r>
      <w:r w:rsidRPr="00870D9A">
        <w:rPr>
          <w:lang w:val="fr-FR"/>
        </w:rPr>
        <w:t>indemnisation « Pinto » dans les six mois suivant la « décision interne définitive »</w:t>
      </w:r>
      <w:r w:rsidR="00F125AC" w:rsidRPr="00870D9A">
        <w:rPr>
          <w:lang w:val="fr-FR"/>
        </w:rPr>
        <w:t xml:space="preserve"> au sens de la « loi Pinto »</w:t>
      </w:r>
      <w:r w:rsidRPr="00870D9A">
        <w:rPr>
          <w:lang w:val="fr-FR"/>
        </w:rPr>
        <w:t>, à savoir le</w:t>
      </w:r>
      <w:r w:rsidR="006737A0" w:rsidRPr="00870D9A">
        <w:rPr>
          <w:lang w:val="fr-FR"/>
        </w:rPr>
        <w:t xml:space="preserve"> jugement du tribunal de Naples passée en force de chose </w:t>
      </w:r>
      <w:r w:rsidR="006737A0" w:rsidRPr="00870D9A">
        <w:rPr>
          <w:lang w:val="fr-FR"/>
        </w:rPr>
        <w:lastRenderedPageBreak/>
        <w:t>jugée le</w:t>
      </w:r>
      <w:r w:rsidR="00E70CF7" w:rsidRPr="00870D9A">
        <w:rPr>
          <w:lang w:val="fr-FR"/>
        </w:rPr>
        <w:t xml:space="preserve"> 25 </w:t>
      </w:r>
      <w:r w:rsidRPr="00870D9A">
        <w:rPr>
          <w:lang w:val="fr-FR"/>
        </w:rPr>
        <w:t>janvier 2004</w:t>
      </w:r>
      <w:r w:rsidR="00244924" w:rsidRPr="00870D9A">
        <w:rPr>
          <w:lang w:val="fr-FR"/>
        </w:rPr>
        <w:t xml:space="preserve">, aurait choisi </w:t>
      </w:r>
      <w:r w:rsidRPr="00870D9A">
        <w:rPr>
          <w:lang w:val="fr-FR"/>
        </w:rPr>
        <w:t>d</w:t>
      </w:r>
      <w:r w:rsidR="00870D9A" w:rsidRPr="00870D9A">
        <w:rPr>
          <w:lang w:val="fr-FR"/>
        </w:rPr>
        <w:t>’</w:t>
      </w:r>
      <w:r w:rsidRPr="00870D9A">
        <w:rPr>
          <w:lang w:val="fr-FR"/>
        </w:rPr>
        <w:t>introduire le recours « Pinto » au terme de la p</w:t>
      </w:r>
      <w:r w:rsidR="001E313F" w:rsidRPr="00870D9A">
        <w:rPr>
          <w:lang w:val="fr-FR"/>
        </w:rPr>
        <w:t>rocédure</w:t>
      </w:r>
      <w:r w:rsidRPr="00870D9A">
        <w:rPr>
          <w:lang w:val="fr-FR"/>
        </w:rPr>
        <w:t xml:space="preserve"> d</w:t>
      </w:r>
      <w:r w:rsidR="00870D9A" w:rsidRPr="00870D9A">
        <w:rPr>
          <w:lang w:val="fr-FR"/>
        </w:rPr>
        <w:t>’</w:t>
      </w:r>
      <w:r w:rsidRPr="00870D9A">
        <w:rPr>
          <w:lang w:val="fr-FR"/>
        </w:rPr>
        <w:t xml:space="preserve">exécution </w:t>
      </w:r>
      <w:r w:rsidR="00244924" w:rsidRPr="00870D9A">
        <w:rPr>
          <w:lang w:val="fr-FR"/>
        </w:rPr>
        <w:t>afin</w:t>
      </w:r>
      <w:r w:rsidRPr="00870D9A">
        <w:rPr>
          <w:lang w:val="fr-FR"/>
        </w:rPr>
        <w:t xml:space="preserve"> de contourner les règles relatives à la forclusion de la demande de satisfaction équitable fixées par l</w:t>
      </w:r>
      <w:r w:rsidR="00870D9A" w:rsidRPr="00870D9A">
        <w:rPr>
          <w:lang w:val="fr-FR"/>
        </w:rPr>
        <w:t>’</w:t>
      </w:r>
      <w:r w:rsidRPr="00870D9A">
        <w:rPr>
          <w:lang w:val="fr-FR"/>
        </w:rPr>
        <w:t xml:space="preserve">article 4 de la </w:t>
      </w:r>
      <w:r w:rsidR="00F125AC" w:rsidRPr="00870D9A">
        <w:rPr>
          <w:lang w:val="fr-FR"/>
        </w:rPr>
        <w:t>même loi</w:t>
      </w:r>
      <w:r w:rsidR="00DF783E" w:rsidRPr="00870D9A">
        <w:rPr>
          <w:lang w:val="fr-FR"/>
        </w:rPr>
        <w:t xml:space="preserve"> (paragraphe </w:t>
      </w:r>
      <w:r w:rsidR="00DF783E" w:rsidRPr="00870D9A">
        <w:rPr>
          <w:lang w:val="fr-FR"/>
        </w:rPr>
        <w:fldChar w:fldCharType="begin"/>
      </w:r>
      <w:r w:rsidR="00DF783E" w:rsidRPr="00870D9A">
        <w:rPr>
          <w:lang w:val="fr-FR"/>
        </w:rPr>
        <w:instrText xml:space="preserve"> REF ARTICLE_4_LOI_PINTO \h </w:instrText>
      </w:r>
      <w:r w:rsidR="00DF783E" w:rsidRPr="00870D9A">
        <w:rPr>
          <w:lang w:val="fr-FR"/>
        </w:rPr>
      </w:r>
      <w:r w:rsidR="00DF783E" w:rsidRPr="00870D9A">
        <w:rPr>
          <w:lang w:val="fr-FR"/>
        </w:rPr>
        <w:fldChar w:fldCharType="separate"/>
      </w:r>
      <w:r w:rsidR="00870D9A" w:rsidRPr="00870D9A">
        <w:rPr>
          <w:noProof/>
          <w:lang w:val="fr-FR"/>
        </w:rPr>
        <w:t>17</w:t>
      </w:r>
      <w:r w:rsidR="00DF783E" w:rsidRPr="00870D9A">
        <w:rPr>
          <w:lang w:val="fr-FR"/>
        </w:rPr>
        <w:fldChar w:fldCharType="end"/>
      </w:r>
      <w:r w:rsidR="00DF783E" w:rsidRPr="00870D9A">
        <w:rPr>
          <w:lang w:val="fr-FR"/>
        </w:rPr>
        <w:t xml:space="preserve"> ci-dessus)</w:t>
      </w:r>
      <w:r w:rsidRPr="00870D9A">
        <w:rPr>
          <w:lang w:val="fr-FR"/>
        </w:rPr>
        <w:t>.</w:t>
      </w:r>
      <w:proofErr w:type="gramEnd"/>
    </w:p>
    <w:p w:rsidR="00EC5C5A" w:rsidRPr="00870D9A" w:rsidRDefault="00EC5C5A"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35</w:t>
      </w:r>
      <w:r w:rsidRPr="00870D9A">
        <w:rPr>
          <w:lang w:val="fr-FR"/>
        </w:rPr>
        <w:fldChar w:fldCharType="end"/>
      </w:r>
      <w:r w:rsidRPr="00870D9A">
        <w:rPr>
          <w:lang w:val="fr-FR"/>
        </w:rPr>
        <w:t>.  Pour parvenir à cette conclusion, le Gouvernement s</w:t>
      </w:r>
      <w:r w:rsidR="00870D9A" w:rsidRPr="00870D9A">
        <w:rPr>
          <w:lang w:val="fr-FR"/>
        </w:rPr>
        <w:t>’</w:t>
      </w:r>
      <w:r w:rsidRPr="00870D9A">
        <w:rPr>
          <w:lang w:val="fr-FR"/>
        </w:rPr>
        <w:t>appuie sur son interprétation de la jurisprudence découlant de l</w:t>
      </w:r>
      <w:r w:rsidR="00870D9A" w:rsidRPr="00870D9A">
        <w:rPr>
          <w:lang w:val="fr-FR"/>
        </w:rPr>
        <w:t>’</w:t>
      </w:r>
      <w:r w:rsidRPr="00870D9A">
        <w:rPr>
          <w:lang w:val="fr-FR"/>
        </w:rPr>
        <w:t xml:space="preserve">arrêt </w:t>
      </w:r>
      <w:proofErr w:type="spellStart"/>
      <w:r w:rsidRPr="00870D9A">
        <w:rPr>
          <w:i/>
          <w:lang w:val="fr-FR"/>
        </w:rPr>
        <w:t>Hornsby</w:t>
      </w:r>
      <w:proofErr w:type="spellEnd"/>
      <w:r w:rsidRPr="00870D9A">
        <w:rPr>
          <w:lang w:val="fr-FR"/>
        </w:rPr>
        <w:t xml:space="preserve"> </w:t>
      </w:r>
      <w:r w:rsidRPr="00870D9A">
        <w:rPr>
          <w:i/>
          <w:lang w:val="fr-FR"/>
        </w:rPr>
        <w:t>c. Grèce</w:t>
      </w:r>
      <w:r w:rsidRPr="00870D9A">
        <w:rPr>
          <w:lang w:val="fr-FR"/>
        </w:rPr>
        <w:t xml:space="preserve"> (19</w:t>
      </w:r>
      <w:proofErr w:type="gramStart"/>
      <w:r w:rsidR="00BC7129" w:rsidRPr="00870D9A">
        <w:rPr>
          <w:lang w:val="fr-FR"/>
        </w:rPr>
        <w:t> </w:t>
      </w:r>
      <w:r w:rsidRPr="00870D9A">
        <w:rPr>
          <w:lang w:val="fr-FR"/>
        </w:rPr>
        <w:t xml:space="preserve"> mars</w:t>
      </w:r>
      <w:proofErr w:type="gramEnd"/>
      <w:r w:rsidRPr="00870D9A">
        <w:rPr>
          <w:lang w:val="fr-FR"/>
        </w:rPr>
        <w:t xml:space="preserve"> 1997, </w:t>
      </w:r>
      <w:r w:rsidRPr="00870D9A">
        <w:rPr>
          <w:i/>
          <w:lang w:val="fr-FR"/>
        </w:rPr>
        <w:t>Recueil</w:t>
      </w:r>
      <w:r w:rsidRPr="00870D9A">
        <w:rPr>
          <w:lang w:val="fr-FR"/>
        </w:rPr>
        <w:t xml:space="preserve"> 1997</w:t>
      </w:r>
      <w:r w:rsidRPr="00870D9A">
        <w:rPr>
          <w:lang w:val="fr-FR"/>
        </w:rPr>
        <w:noBreakHyphen/>
        <w:t xml:space="preserve">II). </w:t>
      </w:r>
      <w:r w:rsidR="002D1806" w:rsidRPr="00870D9A">
        <w:rPr>
          <w:lang w:val="fr-FR"/>
        </w:rPr>
        <w:t>Selon cette interprétation, l</w:t>
      </w:r>
      <w:r w:rsidR="00870D9A" w:rsidRPr="00870D9A">
        <w:rPr>
          <w:lang w:val="fr-FR"/>
        </w:rPr>
        <w:t>’</w:t>
      </w:r>
      <w:r w:rsidR="002D1806" w:rsidRPr="00870D9A">
        <w:rPr>
          <w:lang w:val="fr-FR"/>
        </w:rPr>
        <w:t xml:space="preserve">obligation </w:t>
      </w:r>
      <w:r w:rsidRPr="00870D9A">
        <w:rPr>
          <w:lang w:val="fr-FR"/>
        </w:rPr>
        <w:t>d</w:t>
      </w:r>
      <w:r w:rsidR="00870D9A" w:rsidRPr="00870D9A">
        <w:rPr>
          <w:lang w:val="fr-FR"/>
        </w:rPr>
        <w:t>’</w:t>
      </w:r>
      <w:r w:rsidRPr="00870D9A">
        <w:rPr>
          <w:lang w:val="fr-FR"/>
        </w:rPr>
        <w:t>exécuter les arrêts et les décisions définitifs</w:t>
      </w:r>
      <w:r w:rsidR="002D1806" w:rsidRPr="00870D9A">
        <w:rPr>
          <w:lang w:val="fr-FR"/>
        </w:rPr>
        <w:t xml:space="preserve"> rendus contre l</w:t>
      </w:r>
      <w:r w:rsidR="00870D9A" w:rsidRPr="00870D9A">
        <w:rPr>
          <w:lang w:val="fr-FR"/>
        </w:rPr>
        <w:t>’</w:t>
      </w:r>
      <w:r w:rsidR="002D1806" w:rsidRPr="00870D9A">
        <w:rPr>
          <w:lang w:val="fr-FR"/>
        </w:rPr>
        <w:t>État</w:t>
      </w:r>
      <w:r w:rsidRPr="00870D9A">
        <w:rPr>
          <w:lang w:val="fr-FR"/>
        </w:rPr>
        <w:t xml:space="preserve"> s</w:t>
      </w:r>
      <w:r w:rsidR="00870D9A" w:rsidRPr="00870D9A">
        <w:rPr>
          <w:lang w:val="fr-FR"/>
        </w:rPr>
        <w:t>’</w:t>
      </w:r>
      <w:r w:rsidRPr="00870D9A">
        <w:rPr>
          <w:lang w:val="fr-FR"/>
        </w:rPr>
        <w:t>appliquerait uniquement aux systèmes juridiques qui, comme celui grec à l</w:t>
      </w:r>
      <w:r w:rsidR="00870D9A" w:rsidRPr="00870D9A">
        <w:rPr>
          <w:lang w:val="fr-FR"/>
        </w:rPr>
        <w:t>’</w:t>
      </w:r>
      <w:r w:rsidRPr="00870D9A">
        <w:rPr>
          <w:lang w:val="fr-FR"/>
        </w:rPr>
        <w:t>époque de l</w:t>
      </w:r>
      <w:r w:rsidR="00870D9A" w:rsidRPr="00870D9A">
        <w:rPr>
          <w:lang w:val="fr-FR"/>
        </w:rPr>
        <w:t>’</w:t>
      </w:r>
      <w:r w:rsidRPr="00870D9A">
        <w:rPr>
          <w:lang w:val="fr-FR"/>
        </w:rPr>
        <w:t>arrêt susmentionné, ne prévoient aucun remède pour demander l</w:t>
      </w:r>
      <w:r w:rsidR="00870D9A" w:rsidRPr="00870D9A">
        <w:rPr>
          <w:lang w:val="fr-FR"/>
        </w:rPr>
        <w:t>’</w:t>
      </w:r>
      <w:r w:rsidRPr="00870D9A">
        <w:rPr>
          <w:lang w:val="fr-FR"/>
        </w:rPr>
        <w:t>exécution d</w:t>
      </w:r>
      <w:r w:rsidR="00870D9A" w:rsidRPr="00870D9A">
        <w:rPr>
          <w:lang w:val="fr-FR"/>
        </w:rPr>
        <w:t>’</w:t>
      </w:r>
      <w:r w:rsidRPr="00870D9A">
        <w:rPr>
          <w:lang w:val="fr-FR"/>
        </w:rPr>
        <w:t xml:space="preserve">une décision juridictionnelle définitive. </w:t>
      </w:r>
      <w:r w:rsidR="00405979" w:rsidRPr="00870D9A">
        <w:rPr>
          <w:lang w:val="fr-FR"/>
        </w:rPr>
        <w:t>Or</w:t>
      </w:r>
      <w:r w:rsidRPr="00870D9A">
        <w:rPr>
          <w:lang w:val="fr-FR"/>
        </w:rPr>
        <w:t>, le Gouvernement souligne que le système juridique italien prévoit</w:t>
      </w:r>
      <w:r w:rsidR="00D74D0D" w:rsidRPr="00870D9A">
        <w:rPr>
          <w:lang w:val="fr-FR"/>
        </w:rPr>
        <w:t xml:space="preserve"> au contraire</w:t>
      </w:r>
      <w:r w:rsidRPr="00870D9A">
        <w:rPr>
          <w:lang w:val="fr-FR"/>
        </w:rPr>
        <w:t xml:space="preserve"> un remède de ce type.</w:t>
      </w:r>
    </w:p>
    <w:p w:rsidR="00EC5C5A" w:rsidRPr="00870D9A" w:rsidRDefault="00EC5C5A"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36</w:t>
      </w:r>
      <w:r w:rsidRPr="00870D9A">
        <w:rPr>
          <w:lang w:val="fr-FR"/>
        </w:rPr>
        <w:fldChar w:fldCharType="end"/>
      </w:r>
      <w:r w:rsidRPr="00870D9A">
        <w:rPr>
          <w:lang w:val="fr-FR"/>
        </w:rPr>
        <w:t>.  En outre, le Gouvernement</w:t>
      </w:r>
      <w:r w:rsidR="00405979" w:rsidRPr="00870D9A">
        <w:rPr>
          <w:lang w:val="fr-FR"/>
        </w:rPr>
        <w:t xml:space="preserve"> observe que</w:t>
      </w:r>
      <w:r w:rsidRPr="00870D9A">
        <w:rPr>
          <w:lang w:val="fr-FR"/>
        </w:rPr>
        <w:t xml:space="preserve"> la requérante avait la possibilité de se plaindre de la durée de la procédure au fond et, postérieurement </w:t>
      </w:r>
      <w:r w:rsidR="00405979" w:rsidRPr="00870D9A">
        <w:rPr>
          <w:lang w:val="fr-FR"/>
        </w:rPr>
        <w:t>dans une procédure ultérieure</w:t>
      </w:r>
      <w:r w:rsidRPr="00870D9A">
        <w:rPr>
          <w:lang w:val="fr-FR"/>
        </w:rPr>
        <w:t>, de la durée de la procédure d</w:t>
      </w:r>
      <w:r w:rsidR="00870D9A" w:rsidRPr="00870D9A">
        <w:rPr>
          <w:lang w:val="fr-FR"/>
        </w:rPr>
        <w:t>’</w:t>
      </w:r>
      <w:r w:rsidRPr="00870D9A">
        <w:rPr>
          <w:lang w:val="fr-FR"/>
        </w:rPr>
        <w:t>exécution éventuellement excessive et contraire à l</w:t>
      </w:r>
      <w:r w:rsidR="00870D9A" w:rsidRPr="00870D9A">
        <w:rPr>
          <w:lang w:val="fr-FR"/>
        </w:rPr>
        <w:t>’</w:t>
      </w:r>
      <w:r w:rsidRPr="00870D9A">
        <w:rPr>
          <w:lang w:val="fr-FR"/>
        </w:rPr>
        <w:t>article 6 § 1 de la Convention.</w:t>
      </w:r>
    </w:p>
    <w:bookmarkStart w:id="9" w:name="OBS_GVT_REVIREMENT_CASSATION"/>
    <w:p w:rsidR="00EC5C5A" w:rsidRPr="00870D9A" w:rsidRDefault="00EC5C5A"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37</w:t>
      </w:r>
      <w:r w:rsidRPr="00870D9A">
        <w:rPr>
          <w:lang w:val="fr-FR"/>
        </w:rPr>
        <w:fldChar w:fldCharType="end"/>
      </w:r>
      <w:bookmarkEnd w:id="9"/>
      <w:r w:rsidRPr="00870D9A">
        <w:rPr>
          <w:lang w:val="fr-FR"/>
        </w:rPr>
        <w:t>.  S</w:t>
      </w:r>
      <w:r w:rsidR="00870D9A" w:rsidRPr="00870D9A">
        <w:rPr>
          <w:lang w:val="fr-FR"/>
        </w:rPr>
        <w:t>’</w:t>
      </w:r>
      <w:r w:rsidRPr="00870D9A">
        <w:rPr>
          <w:lang w:val="fr-FR"/>
        </w:rPr>
        <w:t xml:space="preserve">agissant </w:t>
      </w:r>
      <w:r w:rsidR="00D74D0D" w:rsidRPr="00870D9A">
        <w:rPr>
          <w:lang w:val="fr-FR"/>
        </w:rPr>
        <w:t xml:space="preserve">enfin </w:t>
      </w:r>
      <w:r w:rsidRPr="00870D9A">
        <w:rPr>
          <w:lang w:val="fr-FR"/>
        </w:rPr>
        <w:t xml:space="preserve">du revirement de jurisprudence opéré par la Cour de cassation (paragraphe </w:t>
      </w:r>
      <w:r w:rsidRPr="00870D9A">
        <w:rPr>
          <w:lang w:val="fr-FR"/>
        </w:rPr>
        <w:fldChar w:fldCharType="begin"/>
      </w:r>
      <w:r w:rsidRPr="00870D9A">
        <w:rPr>
          <w:lang w:val="fr-FR"/>
        </w:rPr>
        <w:instrText xml:space="preserve"> REF REVIREMENT_JURISPRUDENCE \h </w:instrText>
      </w:r>
      <w:r w:rsidRPr="00870D9A">
        <w:rPr>
          <w:lang w:val="fr-FR"/>
        </w:rPr>
      </w:r>
      <w:r w:rsidRPr="00870D9A">
        <w:rPr>
          <w:lang w:val="fr-FR"/>
        </w:rPr>
        <w:fldChar w:fldCharType="separate"/>
      </w:r>
      <w:r w:rsidR="00870D9A" w:rsidRPr="00870D9A">
        <w:rPr>
          <w:noProof/>
          <w:lang w:val="fr-FR"/>
        </w:rPr>
        <w:t>23</w:t>
      </w:r>
      <w:r w:rsidRPr="00870D9A">
        <w:rPr>
          <w:lang w:val="fr-FR"/>
        </w:rPr>
        <w:fldChar w:fldCharType="end"/>
      </w:r>
      <w:r w:rsidRPr="00870D9A">
        <w:rPr>
          <w:lang w:val="fr-FR"/>
        </w:rPr>
        <w:t xml:space="preserve"> ci-dessus), le Gouvernement souligne les différences entre les faits à l</w:t>
      </w:r>
      <w:r w:rsidR="00870D9A" w:rsidRPr="00870D9A">
        <w:rPr>
          <w:lang w:val="fr-FR"/>
        </w:rPr>
        <w:t>’</w:t>
      </w:r>
      <w:r w:rsidRPr="00870D9A">
        <w:rPr>
          <w:lang w:val="fr-FR"/>
        </w:rPr>
        <w:t>origine de l</w:t>
      </w:r>
      <w:r w:rsidR="00870D9A" w:rsidRPr="00870D9A">
        <w:rPr>
          <w:lang w:val="fr-FR"/>
        </w:rPr>
        <w:t>’</w:t>
      </w:r>
      <w:r w:rsidRPr="00870D9A">
        <w:rPr>
          <w:lang w:val="fr-FR"/>
        </w:rPr>
        <w:t>arrêt n</w:t>
      </w:r>
      <w:r w:rsidRPr="00870D9A">
        <w:rPr>
          <w:vertAlign w:val="superscript"/>
          <w:lang w:val="fr-FR"/>
        </w:rPr>
        <w:t>o</w:t>
      </w:r>
      <w:r w:rsidRPr="00870D9A">
        <w:rPr>
          <w:lang w:val="fr-FR"/>
        </w:rPr>
        <w:t xml:space="preserve"> 6312/2014 de la Cour de cassation et la présente affaire. Il précise que la nouvelle jurisprudence de la Cour de cassation, donnant une lecture globale de la procédure, est strictement limitée au contentieux </w:t>
      </w:r>
      <w:r w:rsidR="00405979" w:rsidRPr="00870D9A">
        <w:rPr>
          <w:lang w:val="fr-FR"/>
        </w:rPr>
        <w:t>discipliné par</w:t>
      </w:r>
      <w:r w:rsidRPr="00870D9A">
        <w:rPr>
          <w:lang w:val="fr-FR"/>
        </w:rPr>
        <w:t xml:space="preserve"> la « loi Pinto » et que ces mêmes principes ne sont pas transposables aux procédures civiles ordinaires.</w:t>
      </w:r>
    </w:p>
    <w:p w:rsidR="00EC5C5A" w:rsidRPr="00870D9A" w:rsidRDefault="00480728"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38</w:t>
      </w:r>
      <w:r w:rsidRPr="00870D9A">
        <w:rPr>
          <w:lang w:val="fr-FR"/>
        </w:rPr>
        <w:fldChar w:fldCharType="end"/>
      </w:r>
      <w:r w:rsidRPr="00870D9A">
        <w:rPr>
          <w:lang w:val="fr-FR"/>
        </w:rPr>
        <w:t>.  </w:t>
      </w:r>
      <w:r w:rsidR="00EC5C5A" w:rsidRPr="00870D9A">
        <w:rPr>
          <w:lang w:val="fr-FR"/>
        </w:rPr>
        <w:t>La partie requérante conteste la thèse du Gouvernement. Elle soutient que la décision de déclarer irrecevable sa demande d</w:t>
      </w:r>
      <w:r w:rsidR="00870D9A" w:rsidRPr="00870D9A">
        <w:rPr>
          <w:lang w:val="fr-FR"/>
        </w:rPr>
        <w:t>’</w:t>
      </w:r>
      <w:r w:rsidR="00EC5C5A" w:rsidRPr="00870D9A">
        <w:rPr>
          <w:lang w:val="fr-FR"/>
        </w:rPr>
        <w:t>indemnisation</w:t>
      </w:r>
      <w:r w:rsidR="001E313F" w:rsidRPr="00870D9A">
        <w:rPr>
          <w:lang w:val="fr-FR"/>
        </w:rPr>
        <w:t xml:space="preserve"> « Pinto »</w:t>
      </w:r>
      <w:r w:rsidR="00EC5C5A" w:rsidRPr="00870D9A">
        <w:rPr>
          <w:lang w:val="fr-FR"/>
        </w:rPr>
        <w:t xml:space="preserve"> est contraire à la jurisprudence de la Cour sur le terrain de l</w:t>
      </w:r>
      <w:r w:rsidR="00870D9A" w:rsidRPr="00870D9A">
        <w:rPr>
          <w:lang w:val="fr-FR"/>
        </w:rPr>
        <w:t>’</w:t>
      </w:r>
      <w:r w:rsidR="00E70CF7" w:rsidRPr="00870D9A">
        <w:rPr>
          <w:lang w:val="fr-FR"/>
        </w:rPr>
        <w:t>article 6 § </w:t>
      </w:r>
      <w:r w:rsidR="00EC5C5A" w:rsidRPr="00870D9A">
        <w:rPr>
          <w:lang w:val="fr-FR"/>
        </w:rPr>
        <w:t>1 de la Convention. Le contraste se fonderait sur l</w:t>
      </w:r>
      <w:r w:rsidR="00870D9A" w:rsidRPr="00870D9A">
        <w:rPr>
          <w:lang w:val="fr-FR"/>
        </w:rPr>
        <w:t>’</w:t>
      </w:r>
      <w:r w:rsidR="00EC5C5A" w:rsidRPr="00870D9A">
        <w:rPr>
          <w:lang w:val="fr-FR"/>
        </w:rPr>
        <w:t xml:space="preserve">interprétation de la notion de « décision interne définitive » de la « loi Pinto » élaborée par les juges nationaux. </w:t>
      </w:r>
      <w:r w:rsidR="00405979" w:rsidRPr="00870D9A">
        <w:rPr>
          <w:lang w:val="fr-FR"/>
        </w:rPr>
        <w:t>Selon</w:t>
      </w:r>
      <w:r w:rsidR="00EC5C5A" w:rsidRPr="00870D9A">
        <w:rPr>
          <w:lang w:val="fr-FR"/>
        </w:rPr>
        <w:t xml:space="preserve"> la requérante, cette notion correspond, </w:t>
      </w:r>
      <w:r w:rsidR="001E313F" w:rsidRPr="00870D9A">
        <w:rPr>
          <w:lang w:val="fr-FR"/>
        </w:rPr>
        <w:t>au niveau</w:t>
      </w:r>
      <w:r w:rsidR="00EC5C5A" w:rsidRPr="00870D9A">
        <w:rPr>
          <w:lang w:val="fr-FR"/>
        </w:rPr>
        <w:t xml:space="preserve"> interne, à la décision</w:t>
      </w:r>
      <w:r w:rsidR="00A14598" w:rsidRPr="00870D9A">
        <w:rPr>
          <w:lang w:val="fr-FR"/>
        </w:rPr>
        <w:t xml:space="preserve"> finale</w:t>
      </w:r>
      <w:r w:rsidR="00EC5C5A" w:rsidRPr="00870D9A">
        <w:rPr>
          <w:lang w:val="fr-FR"/>
        </w:rPr>
        <w:t xml:space="preserve"> relative à la procédure au fond. Partant, il ne serait pas possible de </w:t>
      </w:r>
      <w:r w:rsidR="00405979" w:rsidRPr="00870D9A">
        <w:rPr>
          <w:lang w:val="fr-FR"/>
        </w:rPr>
        <w:t>considérer comme « décision interne définitive » celle rendue par le juge de l</w:t>
      </w:r>
      <w:r w:rsidR="00870D9A" w:rsidRPr="00870D9A">
        <w:rPr>
          <w:lang w:val="fr-FR"/>
        </w:rPr>
        <w:t>’</w:t>
      </w:r>
      <w:r w:rsidR="00405979" w:rsidRPr="00870D9A">
        <w:rPr>
          <w:lang w:val="fr-FR"/>
        </w:rPr>
        <w:t xml:space="preserve">exécution et de </w:t>
      </w:r>
      <w:r w:rsidR="00EC5C5A" w:rsidRPr="00870D9A">
        <w:rPr>
          <w:lang w:val="fr-FR"/>
        </w:rPr>
        <w:t>se plaindre de la durée de la procédure prise dans sa globalité</w:t>
      </w:r>
      <w:r w:rsidR="00405979" w:rsidRPr="00870D9A">
        <w:rPr>
          <w:lang w:val="fr-FR"/>
        </w:rPr>
        <w:t>.</w:t>
      </w:r>
    </w:p>
    <w:p w:rsidR="00880F88" w:rsidRPr="00870D9A" w:rsidRDefault="00480728" w:rsidP="00870D9A">
      <w:pPr>
        <w:pStyle w:val="ECHRPara"/>
        <w:rPr>
          <w:szCs w:val="24"/>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39</w:t>
      </w:r>
      <w:r w:rsidRPr="00870D9A">
        <w:rPr>
          <w:lang w:val="fr-FR"/>
        </w:rPr>
        <w:fldChar w:fldCharType="end"/>
      </w:r>
      <w:r w:rsidRPr="00870D9A">
        <w:rPr>
          <w:lang w:val="fr-FR"/>
        </w:rPr>
        <w:t>.  </w:t>
      </w:r>
      <w:r w:rsidR="00EC5C5A" w:rsidRPr="00870D9A">
        <w:rPr>
          <w:lang w:val="fr-FR"/>
        </w:rPr>
        <w:t>À l</w:t>
      </w:r>
      <w:r w:rsidR="00870D9A" w:rsidRPr="00870D9A">
        <w:rPr>
          <w:lang w:val="fr-FR"/>
        </w:rPr>
        <w:t>’</w:t>
      </w:r>
      <w:r w:rsidR="00EC5C5A" w:rsidRPr="00870D9A">
        <w:rPr>
          <w:lang w:val="fr-FR"/>
        </w:rPr>
        <w:t>opposé, la jurisprudence de la Cour considérerait l</w:t>
      </w:r>
      <w:r w:rsidR="00870D9A" w:rsidRPr="00870D9A">
        <w:rPr>
          <w:lang w:val="fr-FR"/>
        </w:rPr>
        <w:t>’</w:t>
      </w:r>
      <w:r w:rsidR="00EC5C5A" w:rsidRPr="00870D9A">
        <w:rPr>
          <w:lang w:val="fr-FR"/>
        </w:rPr>
        <w:t>exécution comme une phase éventuelle et nécessaire du « procès »</w:t>
      </w:r>
      <w:r w:rsidR="00A14598" w:rsidRPr="00870D9A">
        <w:rPr>
          <w:lang w:val="fr-FR"/>
        </w:rPr>
        <w:t xml:space="preserve"> au sens de l</w:t>
      </w:r>
      <w:r w:rsidR="00870D9A" w:rsidRPr="00870D9A">
        <w:rPr>
          <w:lang w:val="fr-FR"/>
        </w:rPr>
        <w:t>’</w:t>
      </w:r>
      <w:r w:rsidR="00E70CF7" w:rsidRPr="00870D9A">
        <w:rPr>
          <w:lang w:val="fr-FR"/>
        </w:rPr>
        <w:t>article </w:t>
      </w:r>
      <w:r w:rsidR="00A14598" w:rsidRPr="00870D9A">
        <w:rPr>
          <w:lang w:val="fr-FR"/>
        </w:rPr>
        <w:t>6</w:t>
      </w:r>
      <w:r w:rsidR="00EC5C5A" w:rsidRPr="00870D9A">
        <w:rPr>
          <w:lang w:val="fr-FR"/>
        </w:rPr>
        <w:t xml:space="preserve">, la procédure prenant fin au moment où le droit actionné trouve sa réalisation effective. À ce propos, la requérante se réfère à plusieurs arrêts de la Cour, dont </w:t>
      </w:r>
      <w:r w:rsidR="00EC5C5A" w:rsidRPr="00870D9A">
        <w:rPr>
          <w:i/>
          <w:lang w:val="fr-FR"/>
        </w:rPr>
        <w:t xml:space="preserve">Di </w:t>
      </w:r>
      <w:proofErr w:type="spellStart"/>
      <w:r w:rsidR="00EC5C5A" w:rsidRPr="00870D9A">
        <w:rPr>
          <w:i/>
          <w:lang w:val="fr-FR"/>
        </w:rPr>
        <w:t>Pede</w:t>
      </w:r>
      <w:proofErr w:type="spellEnd"/>
      <w:r w:rsidR="00EC5C5A" w:rsidRPr="00870D9A">
        <w:rPr>
          <w:i/>
          <w:lang w:val="fr-FR"/>
        </w:rPr>
        <w:t xml:space="preserve"> c. Italie </w:t>
      </w:r>
      <w:r w:rsidR="00EC5C5A" w:rsidRPr="00870D9A">
        <w:rPr>
          <w:lang w:val="fr-FR"/>
        </w:rPr>
        <w:t xml:space="preserve">(26 septembre 1996, </w:t>
      </w:r>
      <w:r w:rsidR="00EC5C5A" w:rsidRPr="00870D9A">
        <w:rPr>
          <w:i/>
          <w:lang w:val="fr-FR"/>
        </w:rPr>
        <w:t xml:space="preserve">Recueil </w:t>
      </w:r>
      <w:r w:rsidR="00EC5C5A" w:rsidRPr="00870D9A">
        <w:rPr>
          <w:lang w:val="fr-FR"/>
        </w:rPr>
        <w:t>1996</w:t>
      </w:r>
      <w:r w:rsidR="00EC5C5A" w:rsidRPr="00870D9A">
        <w:rPr>
          <w:lang w:val="fr-FR"/>
        </w:rPr>
        <w:noBreakHyphen/>
        <w:t xml:space="preserve">IV), </w:t>
      </w:r>
      <w:proofErr w:type="spellStart"/>
      <w:r w:rsidR="00E70CF7" w:rsidRPr="00870D9A">
        <w:rPr>
          <w:i/>
          <w:lang w:val="fr-FR"/>
        </w:rPr>
        <w:t>Scollo</w:t>
      </w:r>
      <w:proofErr w:type="spellEnd"/>
      <w:r w:rsidR="00E70CF7" w:rsidRPr="00870D9A">
        <w:rPr>
          <w:i/>
          <w:lang w:val="fr-FR"/>
        </w:rPr>
        <w:t xml:space="preserve"> c. </w:t>
      </w:r>
      <w:r w:rsidR="00EC5C5A" w:rsidRPr="00870D9A">
        <w:rPr>
          <w:i/>
          <w:lang w:val="fr-FR"/>
        </w:rPr>
        <w:t>Italie</w:t>
      </w:r>
      <w:r w:rsidR="00EC5C5A" w:rsidRPr="00870D9A">
        <w:rPr>
          <w:lang w:val="fr-FR"/>
        </w:rPr>
        <w:t xml:space="preserve"> (</w:t>
      </w:r>
      <w:r w:rsidR="00C3322F" w:rsidRPr="00870D9A">
        <w:rPr>
          <w:lang w:val="fr-FR"/>
        </w:rPr>
        <w:t>28 </w:t>
      </w:r>
      <w:r w:rsidR="00EC5C5A" w:rsidRPr="00870D9A">
        <w:rPr>
          <w:lang w:val="fr-FR"/>
        </w:rPr>
        <w:t>septembre 1995, série A n</w:t>
      </w:r>
      <w:r w:rsidR="00EC5C5A" w:rsidRPr="00870D9A">
        <w:rPr>
          <w:vertAlign w:val="superscript"/>
          <w:lang w:val="fr-FR"/>
        </w:rPr>
        <w:t>o</w:t>
      </w:r>
      <w:r w:rsidR="00EC5C5A" w:rsidRPr="00870D9A">
        <w:rPr>
          <w:lang w:val="fr-FR"/>
        </w:rPr>
        <w:t xml:space="preserve"> 315</w:t>
      </w:r>
      <w:r w:rsidR="00EC5C5A" w:rsidRPr="00870D9A">
        <w:rPr>
          <w:lang w:val="fr-FR"/>
        </w:rPr>
        <w:noBreakHyphen/>
        <w:t xml:space="preserve">C) et </w:t>
      </w:r>
      <w:proofErr w:type="spellStart"/>
      <w:r w:rsidR="00EC5C5A" w:rsidRPr="00870D9A">
        <w:rPr>
          <w:i/>
          <w:szCs w:val="24"/>
          <w:lang w:val="fr-FR"/>
        </w:rPr>
        <w:t>Cocchiarella</w:t>
      </w:r>
      <w:proofErr w:type="spellEnd"/>
      <w:r w:rsidR="00EC5C5A" w:rsidRPr="00870D9A">
        <w:rPr>
          <w:i/>
          <w:szCs w:val="24"/>
          <w:lang w:val="fr-FR"/>
        </w:rPr>
        <w:t xml:space="preserve"> </w:t>
      </w:r>
      <w:r w:rsidR="00EC5C5A" w:rsidRPr="00870D9A">
        <w:rPr>
          <w:szCs w:val="24"/>
          <w:lang w:val="fr-FR"/>
        </w:rPr>
        <w:t>(précité).</w:t>
      </w:r>
    </w:p>
    <w:p w:rsidR="00880F88" w:rsidRPr="00870D9A" w:rsidRDefault="00880F88" w:rsidP="00870D9A">
      <w:pPr>
        <w:pStyle w:val="ECHRHeading4"/>
        <w:rPr>
          <w:lang w:val="fr-FR"/>
        </w:rPr>
      </w:pPr>
      <w:r w:rsidRPr="00870D9A">
        <w:rPr>
          <w:lang w:val="fr-FR"/>
        </w:rPr>
        <w:lastRenderedPageBreak/>
        <w:t>b)  Appréciation de la Cour</w:t>
      </w:r>
    </w:p>
    <w:p w:rsidR="00AE4277" w:rsidRPr="00870D9A" w:rsidRDefault="00C849CE"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40</w:t>
      </w:r>
      <w:r w:rsidRPr="00870D9A">
        <w:rPr>
          <w:lang w:val="fr-FR"/>
        </w:rPr>
        <w:fldChar w:fldCharType="end"/>
      </w:r>
      <w:r w:rsidRPr="00870D9A">
        <w:rPr>
          <w:lang w:val="fr-FR"/>
        </w:rPr>
        <w:t>.  </w:t>
      </w:r>
      <w:proofErr w:type="gramStart"/>
      <w:r w:rsidR="00EB18B1" w:rsidRPr="00870D9A">
        <w:rPr>
          <w:lang w:val="fr-FR"/>
        </w:rPr>
        <w:t>La Cour considère que la présente affaire porte essentiellement sur la question de savoir si</w:t>
      </w:r>
      <w:r w:rsidR="00522EC3" w:rsidRPr="00870D9A">
        <w:rPr>
          <w:lang w:val="fr-FR"/>
        </w:rPr>
        <w:t>,</w:t>
      </w:r>
      <w:r w:rsidR="00526F39" w:rsidRPr="00870D9A">
        <w:rPr>
          <w:lang w:val="fr-FR"/>
        </w:rPr>
        <w:t xml:space="preserve"> dans le cadre procédural de la voie de recours « Pinto »</w:t>
      </w:r>
      <w:r w:rsidR="00522EC3" w:rsidRPr="00870D9A">
        <w:rPr>
          <w:lang w:val="fr-FR"/>
        </w:rPr>
        <w:t>,</w:t>
      </w:r>
      <w:r w:rsidR="00526F39" w:rsidRPr="00870D9A">
        <w:rPr>
          <w:lang w:val="fr-FR"/>
        </w:rPr>
        <w:t xml:space="preserve"> la décision du </w:t>
      </w:r>
      <w:r w:rsidR="00EB18B1" w:rsidRPr="00870D9A">
        <w:rPr>
          <w:lang w:val="fr-FR"/>
        </w:rPr>
        <w:t>juge de l</w:t>
      </w:r>
      <w:r w:rsidR="00870D9A" w:rsidRPr="00870D9A">
        <w:rPr>
          <w:lang w:val="fr-FR"/>
        </w:rPr>
        <w:t>’</w:t>
      </w:r>
      <w:r w:rsidR="00EB18B1" w:rsidRPr="00870D9A">
        <w:rPr>
          <w:lang w:val="fr-FR"/>
        </w:rPr>
        <w:t>exécution</w:t>
      </w:r>
      <w:r w:rsidR="00526F39" w:rsidRPr="00870D9A">
        <w:rPr>
          <w:lang w:val="fr-FR"/>
        </w:rPr>
        <w:t xml:space="preserve"> du 25 janvier 2005 peut passer pour la « décision interne définitive »</w:t>
      </w:r>
      <w:r w:rsidR="00EB18B1" w:rsidRPr="00870D9A">
        <w:rPr>
          <w:lang w:val="fr-FR"/>
        </w:rPr>
        <w:t xml:space="preserve"> </w:t>
      </w:r>
      <w:r w:rsidR="00522EC3" w:rsidRPr="00870D9A">
        <w:rPr>
          <w:lang w:val="fr-FR"/>
        </w:rPr>
        <w:t xml:space="preserve">de la procédure principale </w:t>
      </w:r>
      <w:r w:rsidR="002E02A3" w:rsidRPr="00870D9A">
        <w:rPr>
          <w:lang w:val="fr-FR"/>
        </w:rPr>
        <w:t>a</w:t>
      </w:r>
      <w:r w:rsidR="00526F39" w:rsidRPr="00870D9A">
        <w:rPr>
          <w:lang w:val="fr-FR"/>
        </w:rPr>
        <w:t>u sens de l</w:t>
      </w:r>
      <w:r w:rsidR="00870D9A" w:rsidRPr="00870D9A">
        <w:rPr>
          <w:lang w:val="fr-FR"/>
        </w:rPr>
        <w:t>’</w:t>
      </w:r>
      <w:r w:rsidR="00526F39" w:rsidRPr="00870D9A">
        <w:rPr>
          <w:lang w:val="fr-FR"/>
        </w:rPr>
        <w:t>article 35 de la Convention</w:t>
      </w:r>
      <w:r w:rsidR="00F125AC" w:rsidRPr="00870D9A">
        <w:rPr>
          <w:lang w:val="fr-FR"/>
        </w:rPr>
        <w:t xml:space="preserve"> et,</w:t>
      </w:r>
      <w:r w:rsidR="00526F39" w:rsidRPr="00870D9A">
        <w:rPr>
          <w:lang w:val="fr-FR"/>
        </w:rPr>
        <w:t xml:space="preserve"> </w:t>
      </w:r>
      <w:r w:rsidR="00F125AC" w:rsidRPr="00870D9A">
        <w:rPr>
          <w:lang w:val="fr-FR"/>
        </w:rPr>
        <w:t>d</w:t>
      </w:r>
      <w:r w:rsidR="00526F39" w:rsidRPr="00870D9A">
        <w:rPr>
          <w:lang w:val="fr-FR"/>
        </w:rPr>
        <w:t>ans l</w:t>
      </w:r>
      <w:r w:rsidR="00870D9A" w:rsidRPr="00870D9A">
        <w:rPr>
          <w:lang w:val="fr-FR"/>
        </w:rPr>
        <w:t>’</w:t>
      </w:r>
      <w:r w:rsidR="00526F39" w:rsidRPr="00870D9A">
        <w:rPr>
          <w:lang w:val="fr-FR"/>
        </w:rPr>
        <w:t>affirmative, e</w:t>
      </w:r>
      <w:r w:rsidR="003C2F92" w:rsidRPr="00870D9A">
        <w:rPr>
          <w:lang w:val="fr-FR"/>
        </w:rPr>
        <w:t>lle est appelé</w:t>
      </w:r>
      <w:r w:rsidR="00526F39" w:rsidRPr="00870D9A">
        <w:rPr>
          <w:lang w:val="fr-FR"/>
        </w:rPr>
        <w:t>e</w:t>
      </w:r>
      <w:r w:rsidR="003C2F92" w:rsidRPr="00870D9A">
        <w:rPr>
          <w:lang w:val="fr-FR"/>
        </w:rPr>
        <w:t xml:space="preserve"> à dire si le rejet de </w:t>
      </w:r>
      <w:r w:rsidRPr="00870D9A">
        <w:rPr>
          <w:lang w:val="fr-FR"/>
        </w:rPr>
        <w:t>l</w:t>
      </w:r>
      <w:r w:rsidR="003C2F92" w:rsidRPr="00870D9A">
        <w:rPr>
          <w:lang w:val="fr-FR"/>
        </w:rPr>
        <w:t>a demande</w:t>
      </w:r>
      <w:r w:rsidR="00F125AC" w:rsidRPr="00870D9A">
        <w:rPr>
          <w:lang w:val="fr-FR"/>
        </w:rPr>
        <w:t xml:space="preserve"> de satisfaction équitable par les juridictions « Pinto »</w:t>
      </w:r>
      <w:r w:rsidR="003C2F92" w:rsidRPr="00870D9A">
        <w:rPr>
          <w:lang w:val="fr-FR"/>
        </w:rPr>
        <w:t xml:space="preserve"> a constitué une violation d</w:t>
      </w:r>
      <w:r w:rsidR="002D1806" w:rsidRPr="00870D9A">
        <w:rPr>
          <w:lang w:val="fr-FR"/>
        </w:rPr>
        <w:t>u</w:t>
      </w:r>
      <w:r w:rsidR="003C2F92" w:rsidRPr="00870D9A">
        <w:rPr>
          <w:lang w:val="fr-FR"/>
        </w:rPr>
        <w:t xml:space="preserve"> droit </w:t>
      </w:r>
      <w:r w:rsidR="002D1806" w:rsidRPr="00870D9A">
        <w:rPr>
          <w:lang w:val="fr-FR"/>
        </w:rPr>
        <w:t xml:space="preserve">de la requérante </w:t>
      </w:r>
      <w:r w:rsidR="006B4C09" w:rsidRPr="00870D9A">
        <w:rPr>
          <w:lang w:val="fr-FR"/>
        </w:rPr>
        <w:t>à un</w:t>
      </w:r>
      <w:r w:rsidR="00E9615C" w:rsidRPr="00870D9A">
        <w:rPr>
          <w:lang w:val="fr-FR"/>
        </w:rPr>
        <w:t xml:space="preserve"> procès dans un délai raisonnable</w:t>
      </w:r>
      <w:r w:rsidR="00B30FB4" w:rsidRPr="00870D9A">
        <w:rPr>
          <w:lang w:val="fr-FR"/>
        </w:rPr>
        <w:t xml:space="preserve"> </w:t>
      </w:r>
      <w:r w:rsidR="00405979" w:rsidRPr="00870D9A">
        <w:rPr>
          <w:lang w:val="fr-FR"/>
        </w:rPr>
        <w:t>au sens</w:t>
      </w:r>
      <w:r w:rsidR="003C2F92" w:rsidRPr="00870D9A">
        <w:rPr>
          <w:lang w:val="fr-FR"/>
        </w:rPr>
        <w:t xml:space="preserve"> de l</w:t>
      </w:r>
      <w:r w:rsidR="00870D9A" w:rsidRPr="00870D9A">
        <w:rPr>
          <w:lang w:val="fr-FR"/>
        </w:rPr>
        <w:t>’</w:t>
      </w:r>
      <w:r w:rsidR="003C2F92" w:rsidRPr="00870D9A">
        <w:rPr>
          <w:lang w:val="fr-FR"/>
        </w:rPr>
        <w:t>article 6 § 1 de la Convention.</w:t>
      </w:r>
      <w:proofErr w:type="gramEnd"/>
      <w:r w:rsidR="003C2F92" w:rsidRPr="00870D9A">
        <w:rPr>
          <w:lang w:val="fr-FR"/>
        </w:rPr>
        <w:t xml:space="preserve"> </w:t>
      </w:r>
      <w:r w:rsidR="00526F39" w:rsidRPr="00870D9A">
        <w:rPr>
          <w:lang w:val="fr-FR"/>
        </w:rPr>
        <w:t>Le</w:t>
      </w:r>
      <w:r w:rsidR="003C2F92" w:rsidRPr="00870D9A">
        <w:rPr>
          <w:lang w:val="fr-FR"/>
        </w:rPr>
        <w:t xml:space="preserve"> point de savoir si la requête doit être considérée tardive </w:t>
      </w:r>
      <w:r w:rsidR="00526F39" w:rsidRPr="00870D9A">
        <w:rPr>
          <w:lang w:val="fr-FR"/>
        </w:rPr>
        <w:t>étant</w:t>
      </w:r>
      <w:r w:rsidR="003C2F92" w:rsidRPr="00870D9A">
        <w:rPr>
          <w:lang w:val="fr-FR"/>
        </w:rPr>
        <w:t xml:space="preserve"> indissociablement lié au fond d</w:t>
      </w:r>
      <w:r w:rsidR="00C3322F" w:rsidRPr="00870D9A">
        <w:rPr>
          <w:lang w:val="fr-FR"/>
        </w:rPr>
        <w:t>e</w:t>
      </w:r>
      <w:r w:rsidR="00B30FB4" w:rsidRPr="00870D9A">
        <w:rPr>
          <w:lang w:val="fr-FR"/>
        </w:rPr>
        <w:t xml:space="preserve"> </w:t>
      </w:r>
      <w:r w:rsidR="00B37C6E" w:rsidRPr="00870D9A">
        <w:rPr>
          <w:lang w:val="fr-FR"/>
        </w:rPr>
        <w:t>la requête</w:t>
      </w:r>
      <w:r w:rsidR="003C2F92" w:rsidRPr="00870D9A">
        <w:rPr>
          <w:lang w:val="fr-FR"/>
        </w:rPr>
        <w:t>, la Cour décide de joindre au fond l</w:t>
      </w:r>
      <w:r w:rsidR="00870D9A" w:rsidRPr="00870D9A">
        <w:rPr>
          <w:lang w:val="fr-FR"/>
        </w:rPr>
        <w:t>’</w:t>
      </w:r>
      <w:r w:rsidR="003C2F92" w:rsidRPr="00870D9A">
        <w:rPr>
          <w:lang w:val="fr-FR"/>
        </w:rPr>
        <w:t>exception préliminaire soulevée par le Gouvernement.</w:t>
      </w:r>
    </w:p>
    <w:p w:rsidR="00C3322F" w:rsidRPr="00870D9A" w:rsidRDefault="00E9615C"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41</w:t>
      </w:r>
      <w:r w:rsidRPr="00870D9A">
        <w:rPr>
          <w:lang w:val="fr-FR"/>
        </w:rPr>
        <w:fldChar w:fldCharType="end"/>
      </w:r>
      <w:r w:rsidRPr="00870D9A">
        <w:rPr>
          <w:lang w:val="fr-FR"/>
        </w:rPr>
        <w:t>.  </w:t>
      </w:r>
      <w:r w:rsidR="00C3322F" w:rsidRPr="00870D9A">
        <w:rPr>
          <w:lang w:val="fr-FR"/>
        </w:rPr>
        <w:t>Constatant par ailleurs que la requête n</w:t>
      </w:r>
      <w:r w:rsidR="00870D9A" w:rsidRPr="00870D9A">
        <w:rPr>
          <w:lang w:val="fr-FR"/>
        </w:rPr>
        <w:t>’</w:t>
      </w:r>
      <w:r w:rsidR="00C3322F" w:rsidRPr="00870D9A">
        <w:rPr>
          <w:lang w:val="fr-FR"/>
        </w:rPr>
        <w:t>est pas manifestement mal fondée au sens de l</w:t>
      </w:r>
      <w:r w:rsidR="00870D9A" w:rsidRPr="00870D9A">
        <w:rPr>
          <w:lang w:val="fr-FR"/>
        </w:rPr>
        <w:t>’</w:t>
      </w:r>
      <w:r w:rsidR="00C3322F" w:rsidRPr="00870D9A">
        <w:rPr>
          <w:lang w:val="fr-FR"/>
        </w:rPr>
        <w:t>article 35 § 3 a) de la Convention et qu</w:t>
      </w:r>
      <w:r w:rsidR="00870D9A" w:rsidRPr="00870D9A">
        <w:rPr>
          <w:lang w:val="fr-FR"/>
        </w:rPr>
        <w:t>’</w:t>
      </w:r>
      <w:r w:rsidR="00C3322F" w:rsidRPr="00870D9A">
        <w:rPr>
          <w:lang w:val="fr-FR"/>
        </w:rPr>
        <w:t>elle ne se heurte à aucun autre motif d</w:t>
      </w:r>
      <w:r w:rsidR="00870D9A" w:rsidRPr="00870D9A">
        <w:rPr>
          <w:lang w:val="fr-FR"/>
        </w:rPr>
        <w:t>’</w:t>
      </w:r>
      <w:r w:rsidR="00C3322F" w:rsidRPr="00870D9A">
        <w:rPr>
          <w:lang w:val="fr-FR"/>
        </w:rPr>
        <w:t>irrecevabilité, la Cour la déclare recevable.</w:t>
      </w:r>
    </w:p>
    <w:p w:rsidR="00E77CB3" w:rsidRPr="00870D9A" w:rsidRDefault="00E77CB3" w:rsidP="00870D9A">
      <w:pPr>
        <w:pStyle w:val="ECHRHeading2"/>
        <w:rPr>
          <w:lang w:val="fr-FR"/>
        </w:rPr>
      </w:pPr>
      <w:r w:rsidRPr="00870D9A">
        <w:rPr>
          <w:lang w:val="fr-FR"/>
        </w:rPr>
        <w:t>B.</w:t>
      </w:r>
      <w:proofErr w:type="gramStart"/>
      <w:r w:rsidRPr="00870D9A">
        <w:rPr>
          <w:lang w:val="fr-FR"/>
        </w:rPr>
        <w:t>  Sur</w:t>
      </w:r>
      <w:proofErr w:type="gramEnd"/>
      <w:r w:rsidRPr="00870D9A">
        <w:rPr>
          <w:lang w:val="fr-FR"/>
        </w:rPr>
        <w:t xml:space="preserve"> le fond</w:t>
      </w:r>
    </w:p>
    <w:p w:rsidR="00C6070F" w:rsidRPr="00870D9A" w:rsidRDefault="008011A7" w:rsidP="00870D9A">
      <w:pPr>
        <w:pStyle w:val="ECHRHeading3"/>
        <w:rPr>
          <w:lang w:val="fr-FR"/>
        </w:rPr>
      </w:pPr>
      <w:r w:rsidRPr="00870D9A">
        <w:rPr>
          <w:lang w:val="fr-FR"/>
        </w:rPr>
        <w:t>1.</w:t>
      </w:r>
      <w:r w:rsidR="00B661E1" w:rsidRPr="00870D9A">
        <w:rPr>
          <w:lang w:val="fr-FR"/>
        </w:rPr>
        <w:t>  </w:t>
      </w:r>
      <w:r w:rsidR="00C6070F" w:rsidRPr="00870D9A">
        <w:rPr>
          <w:lang w:val="fr-FR"/>
        </w:rPr>
        <w:t>Principes généraux</w:t>
      </w:r>
    </w:p>
    <w:bookmarkStart w:id="10" w:name="JURISPRUDENCE_CEDH_EXECUTION_DEBUT"/>
    <w:p w:rsidR="00D00CB8" w:rsidRPr="00870D9A" w:rsidRDefault="008011A7" w:rsidP="00870D9A">
      <w:pPr>
        <w:pStyle w:val="ECHRPara"/>
        <w:rPr>
          <w:i/>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42</w:t>
      </w:r>
      <w:r w:rsidRPr="00870D9A">
        <w:rPr>
          <w:lang w:val="fr-FR"/>
        </w:rPr>
        <w:fldChar w:fldCharType="end"/>
      </w:r>
      <w:bookmarkEnd w:id="10"/>
      <w:r w:rsidRPr="00870D9A">
        <w:rPr>
          <w:lang w:val="fr-FR"/>
        </w:rPr>
        <w:t>.  </w:t>
      </w:r>
      <w:r w:rsidR="00D00CB8" w:rsidRPr="00870D9A">
        <w:rPr>
          <w:lang w:val="fr-FR"/>
        </w:rPr>
        <w:t xml:space="preserve">Dans son arrêt fondateur </w:t>
      </w:r>
      <w:proofErr w:type="spellStart"/>
      <w:r w:rsidR="00D00CB8" w:rsidRPr="00870D9A">
        <w:rPr>
          <w:i/>
          <w:lang w:val="fr-FR"/>
        </w:rPr>
        <w:t>Hornsby</w:t>
      </w:r>
      <w:proofErr w:type="spellEnd"/>
      <w:r w:rsidR="00D00CB8" w:rsidRPr="00870D9A">
        <w:rPr>
          <w:lang w:val="fr-FR"/>
        </w:rPr>
        <w:t xml:space="preserve"> (précité, §§ 40 et suivants ; voir aussi </w:t>
      </w:r>
      <w:r w:rsidR="00D00CB8" w:rsidRPr="00870D9A">
        <w:rPr>
          <w:i/>
          <w:lang w:val="fr-FR"/>
        </w:rPr>
        <w:t>Silva Pontes c. Portugal</w:t>
      </w:r>
      <w:r w:rsidR="00D00CB8" w:rsidRPr="00870D9A">
        <w:rPr>
          <w:lang w:val="fr-FR"/>
        </w:rPr>
        <w:t>, 23 mars 1994, série A n</w:t>
      </w:r>
      <w:r w:rsidR="00D00CB8" w:rsidRPr="00870D9A">
        <w:rPr>
          <w:vertAlign w:val="superscript"/>
          <w:lang w:val="fr-FR"/>
        </w:rPr>
        <w:t>o</w:t>
      </w:r>
      <w:r w:rsidR="00D00CB8" w:rsidRPr="00870D9A">
        <w:rPr>
          <w:lang w:val="fr-FR"/>
        </w:rPr>
        <w:t xml:space="preserve"> 286</w:t>
      </w:r>
      <w:r w:rsidR="00D00CB8" w:rsidRPr="00870D9A">
        <w:rPr>
          <w:lang w:val="fr-FR"/>
        </w:rPr>
        <w:noBreakHyphen/>
        <w:t xml:space="preserve">A, </w:t>
      </w:r>
      <w:r w:rsidR="00D00CB8" w:rsidRPr="00870D9A">
        <w:rPr>
          <w:i/>
          <w:lang w:val="fr-FR"/>
        </w:rPr>
        <w:t xml:space="preserve">Di </w:t>
      </w:r>
      <w:proofErr w:type="spellStart"/>
      <w:r w:rsidR="00D00CB8" w:rsidRPr="00870D9A">
        <w:rPr>
          <w:i/>
          <w:lang w:val="fr-FR"/>
        </w:rPr>
        <w:t>Pede</w:t>
      </w:r>
      <w:proofErr w:type="spellEnd"/>
      <w:r w:rsidR="00D00CB8" w:rsidRPr="00870D9A">
        <w:rPr>
          <w:lang w:val="fr-FR"/>
        </w:rPr>
        <w:t xml:space="preserve">, précité, et </w:t>
      </w:r>
      <w:proofErr w:type="spellStart"/>
      <w:r w:rsidR="00D00CB8" w:rsidRPr="00870D9A">
        <w:rPr>
          <w:i/>
          <w:lang w:val="fr-FR"/>
        </w:rPr>
        <w:t>Zappia</w:t>
      </w:r>
      <w:proofErr w:type="spellEnd"/>
      <w:r w:rsidR="00D00CB8" w:rsidRPr="00870D9A">
        <w:rPr>
          <w:i/>
          <w:lang w:val="fr-FR"/>
        </w:rPr>
        <w:t xml:space="preserve"> c. Italie</w:t>
      </w:r>
      <w:r w:rsidR="00D00CB8" w:rsidRPr="00870D9A">
        <w:rPr>
          <w:lang w:val="fr-FR"/>
        </w:rPr>
        <w:t xml:space="preserve">, 26 septembre 1996, </w:t>
      </w:r>
      <w:r w:rsidR="00D00CB8" w:rsidRPr="00870D9A">
        <w:rPr>
          <w:i/>
          <w:lang w:val="fr-FR"/>
        </w:rPr>
        <w:t xml:space="preserve">Recueil </w:t>
      </w:r>
      <w:r w:rsidR="00D00CB8" w:rsidRPr="00870D9A">
        <w:rPr>
          <w:lang w:val="fr-FR"/>
        </w:rPr>
        <w:t>1996</w:t>
      </w:r>
      <w:r w:rsidR="00D00CB8" w:rsidRPr="00870D9A">
        <w:rPr>
          <w:lang w:val="fr-FR"/>
        </w:rPr>
        <w:noBreakHyphen/>
        <w:t>IV), la Cour a établi le principe selon lequel le droit à un tribunal serait illusoire si l</w:t>
      </w:r>
      <w:r w:rsidR="00870D9A" w:rsidRPr="00870D9A">
        <w:rPr>
          <w:lang w:val="fr-FR"/>
        </w:rPr>
        <w:t>’</w:t>
      </w:r>
      <w:r w:rsidR="00D00CB8" w:rsidRPr="00870D9A">
        <w:rPr>
          <w:lang w:val="fr-FR"/>
        </w:rPr>
        <w:t>ordre juridique interne d</w:t>
      </w:r>
      <w:r w:rsidR="00870D9A" w:rsidRPr="00870D9A">
        <w:rPr>
          <w:lang w:val="fr-FR"/>
        </w:rPr>
        <w:t>’</w:t>
      </w:r>
      <w:r w:rsidR="00D00CB8" w:rsidRPr="00870D9A">
        <w:rPr>
          <w:lang w:val="fr-FR"/>
        </w:rPr>
        <w:t>un État contractant permettait qu</w:t>
      </w:r>
      <w:r w:rsidR="00870D9A" w:rsidRPr="00870D9A">
        <w:rPr>
          <w:lang w:val="fr-FR"/>
        </w:rPr>
        <w:t>’</w:t>
      </w:r>
      <w:r w:rsidR="00D00CB8" w:rsidRPr="00870D9A">
        <w:rPr>
          <w:lang w:val="fr-FR"/>
        </w:rPr>
        <w:t>une décision judiciaire définitive et obligatoire restât inopérante au détriment d</w:t>
      </w:r>
      <w:r w:rsidR="00870D9A" w:rsidRPr="00870D9A">
        <w:rPr>
          <w:lang w:val="fr-FR"/>
        </w:rPr>
        <w:t>’</w:t>
      </w:r>
      <w:r w:rsidR="00D00CB8" w:rsidRPr="00870D9A">
        <w:rPr>
          <w:lang w:val="fr-FR"/>
        </w:rPr>
        <w:t>une partie. L</w:t>
      </w:r>
      <w:r w:rsidR="00870D9A" w:rsidRPr="00870D9A">
        <w:rPr>
          <w:lang w:val="fr-FR"/>
        </w:rPr>
        <w:t>’</w:t>
      </w:r>
      <w:r w:rsidR="00D00CB8" w:rsidRPr="00870D9A">
        <w:rPr>
          <w:lang w:val="fr-FR"/>
        </w:rPr>
        <w:t>exécution d</w:t>
      </w:r>
      <w:r w:rsidR="00870D9A" w:rsidRPr="00870D9A">
        <w:rPr>
          <w:lang w:val="fr-FR"/>
        </w:rPr>
        <w:t>’</w:t>
      </w:r>
      <w:r w:rsidR="00D00CB8" w:rsidRPr="00870D9A">
        <w:rPr>
          <w:lang w:val="fr-FR"/>
        </w:rPr>
        <w:t>un jugement ou arrêt, de quelque juridiction que ce soit, doit donc être considérée comme faisant partie intégrante du « procès » au sens de l</w:t>
      </w:r>
      <w:r w:rsidR="00870D9A" w:rsidRPr="00870D9A">
        <w:rPr>
          <w:lang w:val="fr-FR"/>
        </w:rPr>
        <w:t>’</w:t>
      </w:r>
      <w:r w:rsidR="00D00CB8" w:rsidRPr="00870D9A">
        <w:rPr>
          <w:lang w:val="fr-FR"/>
        </w:rPr>
        <w:t xml:space="preserve">article 6 (voir aussi </w:t>
      </w:r>
      <w:proofErr w:type="spellStart"/>
      <w:r w:rsidR="00D00CB8" w:rsidRPr="00870D9A">
        <w:rPr>
          <w:i/>
          <w:lang w:val="fr-FR"/>
        </w:rPr>
        <w:t>Bourdov</w:t>
      </w:r>
      <w:proofErr w:type="spellEnd"/>
      <w:r w:rsidR="00D00CB8" w:rsidRPr="00870D9A">
        <w:rPr>
          <w:i/>
          <w:lang w:val="fr-FR"/>
        </w:rPr>
        <w:t xml:space="preserve"> c. Russie (n</w:t>
      </w:r>
      <w:r w:rsidR="00D00CB8" w:rsidRPr="00870D9A">
        <w:rPr>
          <w:i/>
          <w:vertAlign w:val="superscript"/>
          <w:lang w:val="fr-FR"/>
        </w:rPr>
        <w:t>o</w:t>
      </w:r>
      <w:r w:rsidR="00D00CB8" w:rsidRPr="00870D9A">
        <w:rPr>
          <w:i/>
          <w:lang w:val="fr-FR"/>
        </w:rPr>
        <w:t xml:space="preserve"> 2)</w:t>
      </w:r>
      <w:r w:rsidR="00D00CB8" w:rsidRPr="00870D9A">
        <w:rPr>
          <w:lang w:val="fr-FR"/>
        </w:rPr>
        <w:t>, n</w:t>
      </w:r>
      <w:r w:rsidR="00D00CB8" w:rsidRPr="00870D9A">
        <w:rPr>
          <w:vertAlign w:val="superscript"/>
          <w:lang w:val="fr-FR"/>
        </w:rPr>
        <w:t>o</w:t>
      </w:r>
      <w:r w:rsidR="00D00CB8" w:rsidRPr="00870D9A">
        <w:rPr>
          <w:lang w:val="fr-FR"/>
        </w:rPr>
        <w:t> 33509/04, § 65, CEDH 2009).</w:t>
      </w:r>
    </w:p>
    <w:p w:rsidR="00D00CB8" w:rsidRPr="00870D9A" w:rsidRDefault="00D00CB8" w:rsidP="00870D9A">
      <w:pPr>
        <w:pStyle w:val="ECHRPara"/>
        <w:rPr>
          <w:szCs w:val="24"/>
          <w:lang w:val="fr-FR" w:eastAsia="fr-FR"/>
        </w:rPr>
      </w:pPr>
      <w:r w:rsidRPr="00870D9A">
        <w:rPr>
          <w:szCs w:val="24"/>
          <w:lang w:val="fr-FR" w:eastAsia="fr-FR"/>
        </w:rPr>
        <w:fldChar w:fldCharType="begin"/>
      </w:r>
      <w:r w:rsidRPr="00870D9A">
        <w:rPr>
          <w:szCs w:val="24"/>
          <w:lang w:val="fr-FR" w:eastAsia="fr-FR"/>
        </w:rPr>
        <w:instrText xml:space="preserve"> SEQ level0 \*arabic </w:instrText>
      </w:r>
      <w:r w:rsidRPr="00870D9A">
        <w:rPr>
          <w:szCs w:val="24"/>
          <w:lang w:val="fr-FR" w:eastAsia="fr-FR"/>
        </w:rPr>
        <w:fldChar w:fldCharType="separate"/>
      </w:r>
      <w:r w:rsidR="00870D9A" w:rsidRPr="00870D9A">
        <w:rPr>
          <w:noProof/>
          <w:szCs w:val="24"/>
          <w:lang w:val="fr-FR" w:eastAsia="fr-FR"/>
        </w:rPr>
        <w:t>43</w:t>
      </w:r>
      <w:r w:rsidRPr="00870D9A">
        <w:rPr>
          <w:szCs w:val="24"/>
          <w:lang w:val="fr-FR" w:eastAsia="fr-FR"/>
        </w:rPr>
        <w:fldChar w:fldCharType="end"/>
      </w:r>
      <w:r w:rsidRPr="00870D9A">
        <w:rPr>
          <w:szCs w:val="24"/>
          <w:lang w:val="fr-FR" w:eastAsia="fr-FR"/>
        </w:rPr>
        <w:t>.  Il découle de ces principes l</w:t>
      </w:r>
      <w:r w:rsidR="00870D9A" w:rsidRPr="00870D9A">
        <w:rPr>
          <w:szCs w:val="24"/>
          <w:lang w:val="fr-FR" w:eastAsia="fr-FR"/>
        </w:rPr>
        <w:t>’</w:t>
      </w:r>
      <w:r w:rsidRPr="00870D9A">
        <w:rPr>
          <w:szCs w:val="24"/>
          <w:lang w:val="fr-FR" w:eastAsia="fr-FR"/>
        </w:rPr>
        <w:t>obligation pour les États contractants d</w:t>
      </w:r>
      <w:r w:rsidR="00870D9A" w:rsidRPr="00870D9A">
        <w:rPr>
          <w:szCs w:val="24"/>
          <w:lang w:val="fr-FR" w:eastAsia="fr-FR"/>
        </w:rPr>
        <w:t>’</w:t>
      </w:r>
      <w:r w:rsidRPr="00870D9A">
        <w:rPr>
          <w:szCs w:val="24"/>
          <w:lang w:val="fr-FR" w:eastAsia="fr-FR"/>
        </w:rPr>
        <w:t>assurer que chaque droit revendiqué trouve sa réalisation effective. La Cour a également indiqué que l</w:t>
      </w:r>
      <w:r w:rsidR="00870D9A" w:rsidRPr="00870D9A">
        <w:rPr>
          <w:szCs w:val="24"/>
          <w:lang w:val="fr-FR" w:eastAsia="fr-FR"/>
        </w:rPr>
        <w:t>’</w:t>
      </w:r>
      <w:r w:rsidRPr="00870D9A">
        <w:rPr>
          <w:szCs w:val="24"/>
          <w:lang w:val="fr-FR" w:eastAsia="fr-FR"/>
        </w:rPr>
        <w:t xml:space="preserve">étendue de cette obligation </w:t>
      </w:r>
      <w:r w:rsidR="00C6070F" w:rsidRPr="00870D9A">
        <w:rPr>
          <w:szCs w:val="24"/>
          <w:lang w:val="fr-FR" w:eastAsia="fr-FR"/>
        </w:rPr>
        <w:t>varie</w:t>
      </w:r>
      <w:r w:rsidRPr="00870D9A">
        <w:rPr>
          <w:szCs w:val="24"/>
          <w:lang w:val="fr-FR" w:eastAsia="fr-FR"/>
        </w:rPr>
        <w:t xml:space="preserve"> en fonction de la</w:t>
      </w:r>
      <w:r w:rsidR="00C6070F" w:rsidRPr="00870D9A">
        <w:rPr>
          <w:szCs w:val="24"/>
          <w:lang w:val="fr-FR" w:eastAsia="fr-FR"/>
        </w:rPr>
        <w:t xml:space="preserve"> qualité de la partie débitrice. Elle opère en effet</w:t>
      </w:r>
      <w:r w:rsidRPr="00870D9A">
        <w:rPr>
          <w:szCs w:val="24"/>
          <w:lang w:val="fr-FR" w:eastAsia="fr-FR"/>
        </w:rPr>
        <w:t xml:space="preserve"> une distinction selon la nature de la partie débitrice, débiteur-particulier ou débiteur-administration de l</w:t>
      </w:r>
      <w:r w:rsidR="00870D9A" w:rsidRPr="00870D9A">
        <w:rPr>
          <w:szCs w:val="24"/>
          <w:lang w:val="fr-FR" w:eastAsia="fr-FR"/>
        </w:rPr>
        <w:t>’</w:t>
      </w:r>
      <w:r w:rsidRPr="00870D9A">
        <w:rPr>
          <w:szCs w:val="24"/>
          <w:lang w:val="fr-FR" w:eastAsia="fr-FR"/>
        </w:rPr>
        <w:t>État.</w:t>
      </w:r>
    </w:p>
    <w:p w:rsidR="00D00CB8" w:rsidRPr="00870D9A" w:rsidRDefault="00D00CB8" w:rsidP="00870D9A">
      <w:pPr>
        <w:pStyle w:val="ECHRPara"/>
        <w:rPr>
          <w:szCs w:val="24"/>
          <w:lang w:val="fr-FR" w:eastAsia="fr-FR"/>
        </w:rPr>
      </w:pPr>
      <w:r w:rsidRPr="00870D9A">
        <w:rPr>
          <w:szCs w:val="24"/>
          <w:lang w:val="fr-FR" w:eastAsia="fr-FR"/>
        </w:rPr>
        <w:fldChar w:fldCharType="begin"/>
      </w:r>
      <w:r w:rsidRPr="00870D9A">
        <w:rPr>
          <w:szCs w:val="24"/>
          <w:lang w:val="fr-FR" w:eastAsia="fr-FR"/>
        </w:rPr>
        <w:instrText xml:space="preserve"> SEQ level0 \*arabic </w:instrText>
      </w:r>
      <w:r w:rsidRPr="00870D9A">
        <w:rPr>
          <w:szCs w:val="24"/>
          <w:lang w:val="fr-FR" w:eastAsia="fr-FR"/>
        </w:rPr>
        <w:fldChar w:fldCharType="separate"/>
      </w:r>
      <w:r w:rsidR="00870D9A" w:rsidRPr="00870D9A">
        <w:rPr>
          <w:noProof/>
          <w:szCs w:val="24"/>
          <w:lang w:val="fr-FR" w:eastAsia="fr-FR"/>
        </w:rPr>
        <w:t>44</w:t>
      </w:r>
      <w:r w:rsidRPr="00870D9A">
        <w:rPr>
          <w:szCs w:val="24"/>
          <w:lang w:val="fr-FR" w:eastAsia="fr-FR"/>
        </w:rPr>
        <w:fldChar w:fldCharType="end"/>
      </w:r>
      <w:r w:rsidRPr="00870D9A">
        <w:rPr>
          <w:szCs w:val="24"/>
          <w:lang w:val="fr-FR" w:eastAsia="fr-FR"/>
        </w:rPr>
        <w:t>.  Dans le premier cas, lorsque le particulier ou la personne privée est défaillant, il revient aux États contractants d</w:t>
      </w:r>
      <w:r w:rsidR="00870D9A" w:rsidRPr="00870D9A">
        <w:rPr>
          <w:szCs w:val="24"/>
          <w:lang w:val="fr-FR" w:eastAsia="fr-FR"/>
        </w:rPr>
        <w:t>’</w:t>
      </w:r>
      <w:r w:rsidRPr="00870D9A">
        <w:rPr>
          <w:szCs w:val="24"/>
          <w:lang w:val="fr-FR" w:eastAsia="fr-FR"/>
        </w:rPr>
        <w:t>assurer l</w:t>
      </w:r>
      <w:r w:rsidR="00870D9A" w:rsidRPr="00870D9A">
        <w:rPr>
          <w:szCs w:val="24"/>
          <w:lang w:val="fr-FR" w:eastAsia="fr-FR"/>
        </w:rPr>
        <w:t>’</w:t>
      </w:r>
      <w:r w:rsidRPr="00870D9A">
        <w:rPr>
          <w:szCs w:val="24"/>
          <w:lang w:val="fr-FR" w:eastAsia="fr-FR"/>
        </w:rPr>
        <w:t xml:space="preserve">assistance nécessaire afin que le droit revendiqué trouve sa réalisation effective. </w:t>
      </w:r>
      <w:r w:rsidR="00030A8A" w:rsidRPr="00870D9A">
        <w:rPr>
          <w:szCs w:val="24"/>
          <w:lang w:val="fr-FR" w:eastAsia="fr-FR"/>
        </w:rPr>
        <w:t>Bien que leur responsabilité ne puisse être engagée du fait du défaut de paiement d</w:t>
      </w:r>
      <w:r w:rsidR="00870D9A" w:rsidRPr="00870D9A">
        <w:rPr>
          <w:szCs w:val="24"/>
          <w:lang w:val="fr-FR" w:eastAsia="fr-FR"/>
        </w:rPr>
        <w:t>’</w:t>
      </w:r>
      <w:r w:rsidR="00030A8A" w:rsidRPr="00870D9A">
        <w:rPr>
          <w:szCs w:val="24"/>
          <w:lang w:val="fr-FR" w:eastAsia="fr-FR"/>
        </w:rPr>
        <w:t>une créance exécutoire dû à l</w:t>
      </w:r>
      <w:r w:rsidR="00870D9A" w:rsidRPr="00870D9A">
        <w:rPr>
          <w:szCs w:val="24"/>
          <w:lang w:val="fr-FR" w:eastAsia="fr-FR"/>
        </w:rPr>
        <w:t>’</w:t>
      </w:r>
      <w:r w:rsidR="00030A8A" w:rsidRPr="00870D9A">
        <w:rPr>
          <w:szCs w:val="24"/>
          <w:lang w:val="fr-FR" w:eastAsia="fr-FR"/>
        </w:rPr>
        <w:t>insolvabilité d</w:t>
      </w:r>
      <w:r w:rsidR="00870D9A" w:rsidRPr="00870D9A">
        <w:rPr>
          <w:szCs w:val="24"/>
          <w:lang w:val="fr-FR" w:eastAsia="fr-FR"/>
        </w:rPr>
        <w:t>’</w:t>
      </w:r>
      <w:r w:rsidR="00030A8A" w:rsidRPr="00870D9A">
        <w:rPr>
          <w:szCs w:val="24"/>
          <w:lang w:val="fr-FR" w:eastAsia="fr-FR"/>
        </w:rPr>
        <w:t xml:space="preserve">un débiteur « privé » (voir, </w:t>
      </w:r>
      <w:r w:rsidR="00030A8A" w:rsidRPr="00870D9A">
        <w:rPr>
          <w:i/>
          <w:szCs w:val="24"/>
          <w:lang w:val="fr-FR" w:eastAsia="fr-FR"/>
        </w:rPr>
        <w:t>mutatis mutandis</w:t>
      </w:r>
      <w:r w:rsidR="00030A8A" w:rsidRPr="00870D9A">
        <w:rPr>
          <w:szCs w:val="24"/>
          <w:lang w:val="fr-FR" w:eastAsia="fr-FR"/>
        </w:rPr>
        <w:t xml:space="preserve">, </w:t>
      </w:r>
      <w:r w:rsidR="00030A8A" w:rsidRPr="00870D9A">
        <w:rPr>
          <w:i/>
          <w:lang w:val="fr-FR"/>
        </w:rPr>
        <w:t>Sanglier c. France</w:t>
      </w:r>
      <w:r w:rsidR="00030A8A" w:rsidRPr="00870D9A">
        <w:rPr>
          <w:lang w:val="fr-FR"/>
        </w:rPr>
        <w:t>,</w:t>
      </w:r>
      <w:r w:rsidR="00030A8A" w:rsidRPr="00870D9A">
        <w:rPr>
          <w:i/>
          <w:lang w:val="fr-FR"/>
        </w:rPr>
        <w:t xml:space="preserve"> </w:t>
      </w:r>
      <w:r w:rsidR="00030A8A" w:rsidRPr="00870D9A">
        <w:rPr>
          <w:lang w:val="fr-FR"/>
        </w:rPr>
        <w:t>n</w:t>
      </w:r>
      <w:r w:rsidR="00030A8A" w:rsidRPr="00870D9A">
        <w:rPr>
          <w:vertAlign w:val="superscript"/>
          <w:lang w:val="fr-FR"/>
        </w:rPr>
        <w:t>o</w:t>
      </w:r>
      <w:r w:rsidR="00030A8A" w:rsidRPr="00870D9A">
        <w:rPr>
          <w:lang w:val="fr-FR"/>
        </w:rPr>
        <w:t xml:space="preserve"> 50342/99, § 39, 27 mai 2003,</w:t>
      </w:r>
      <w:r w:rsidR="00030A8A" w:rsidRPr="00870D9A">
        <w:rPr>
          <w:szCs w:val="24"/>
          <w:lang w:val="fr-FR" w:eastAsia="fr-FR"/>
        </w:rPr>
        <w:t xml:space="preserve"> </w:t>
      </w:r>
      <w:proofErr w:type="spellStart"/>
      <w:r w:rsidR="00030A8A" w:rsidRPr="00870D9A">
        <w:rPr>
          <w:i/>
          <w:szCs w:val="24"/>
          <w:lang w:val="fr-FR" w:eastAsia="fr-FR"/>
        </w:rPr>
        <w:t>Ciprova</w:t>
      </w:r>
      <w:proofErr w:type="spellEnd"/>
      <w:r w:rsidR="00030A8A" w:rsidRPr="00870D9A">
        <w:rPr>
          <w:i/>
          <w:szCs w:val="24"/>
          <w:lang w:val="fr-FR" w:eastAsia="fr-FR"/>
        </w:rPr>
        <w:t xml:space="preserve"> c.</w:t>
      </w:r>
      <w:r w:rsidR="00BC7129" w:rsidRPr="00870D9A">
        <w:rPr>
          <w:i/>
          <w:szCs w:val="24"/>
          <w:lang w:val="fr-FR" w:eastAsia="fr-FR"/>
        </w:rPr>
        <w:t> </w:t>
      </w:r>
      <w:r w:rsidR="00030A8A" w:rsidRPr="00870D9A">
        <w:rPr>
          <w:i/>
          <w:szCs w:val="24"/>
          <w:lang w:val="fr-FR" w:eastAsia="fr-FR"/>
        </w:rPr>
        <w:t xml:space="preserve"> République tchèque</w:t>
      </w:r>
      <w:r w:rsidR="00030A8A" w:rsidRPr="00870D9A">
        <w:rPr>
          <w:szCs w:val="24"/>
          <w:lang w:val="fr-FR" w:eastAsia="fr-FR"/>
        </w:rPr>
        <w:t xml:space="preserve"> (déc.), n</w:t>
      </w:r>
      <w:r w:rsidR="00030A8A" w:rsidRPr="00870D9A">
        <w:rPr>
          <w:szCs w:val="24"/>
          <w:vertAlign w:val="superscript"/>
          <w:lang w:val="fr-FR" w:eastAsia="fr-FR"/>
        </w:rPr>
        <w:t>o</w:t>
      </w:r>
      <w:r w:rsidR="00030A8A" w:rsidRPr="00870D9A">
        <w:rPr>
          <w:szCs w:val="24"/>
          <w:lang w:val="fr-FR" w:eastAsia="fr-FR"/>
        </w:rPr>
        <w:t xml:space="preserve"> 33273/03, 22 mars 2005, et </w:t>
      </w:r>
      <w:proofErr w:type="spellStart"/>
      <w:r w:rsidR="00030A8A" w:rsidRPr="00870D9A">
        <w:rPr>
          <w:i/>
          <w:szCs w:val="24"/>
          <w:lang w:val="fr-FR" w:eastAsia="fr-FR"/>
        </w:rPr>
        <w:t>Cubănit</w:t>
      </w:r>
      <w:proofErr w:type="spellEnd"/>
      <w:r w:rsidR="00030A8A" w:rsidRPr="00870D9A">
        <w:rPr>
          <w:i/>
          <w:szCs w:val="24"/>
          <w:lang w:val="fr-FR" w:eastAsia="fr-FR"/>
        </w:rPr>
        <w:t xml:space="preserve"> c.</w:t>
      </w:r>
      <w:r w:rsidR="00BC7129" w:rsidRPr="00870D9A">
        <w:rPr>
          <w:i/>
          <w:szCs w:val="24"/>
          <w:lang w:val="fr-FR" w:eastAsia="fr-FR"/>
        </w:rPr>
        <w:t> </w:t>
      </w:r>
      <w:r w:rsidR="00030A8A" w:rsidRPr="00870D9A">
        <w:rPr>
          <w:i/>
          <w:szCs w:val="24"/>
          <w:lang w:val="fr-FR" w:eastAsia="fr-FR"/>
        </w:rPr>
        <w:t xml:space="preserve"> Roumanie</w:t>
      </w:r>
      <w:r w:rsidR="00030A8A" w:rsidRPr="00870D9A">
        <w:rPr>
          <w:szCs w:val="24"/>
          <w:lang w:val="fr-FR" w:eastAsia="fr-FR"/>
        </w:rPr>
        <w:t xml:space="preserve"> (déc.), n</w:t>
      </w:r>
      <w:r w:rsidR="00030A8A" w:rsidRPr="00870D9A">
        <w:rPr>
          <w:szCs w:val="24"/>
          <w:vertAlign w:val="superscript"/>
          <w:lang w:val="fr-FR" w:eastAsia="fr-FR"/>
        </w:rPr>
        <w:t>o</w:t>
      </w:r>
      <w:r w:rsidR="00030A8A" w:rsidRPr="00870D9A">
        <w:rPr>
          <w:szCs w:val="24"/>
          <w:lang w:val="fr-FR" w:eastAsia="fr-FR"/>
        </w:rPr>
        <w:t> 31510/02, 4 janvier 2007), l</w:t>
      </w:r>
      <w:r w:rsidRPr="00870D9A">
        <w:rPr>
          <w:szCs w:val="24"/>
          <w:lang w:val="fr-FR" w:eastAsia="fr-FR"/>
        </w:rPr>
        <w:t>es États ont l</w:t>
      </w:r>
      <w:r w:rsidR="00870D9A" w:rsidRPr="00870D9A">
        <w:rPr>
          <w:szCs w:val="24"/>
          <w:lang w:val="fr-FR" w:eastAsia="fr-FR"/>
        </w:rPr>
        <w:t>’</w:t>
      </w:r>
      <w:r w:rsidRPr="00870D9A">
        <w:rPr>
          <w:szCs w:val="24"/>
          <w:lang w:val="fr-FR" w:eastAsia="fr-FR"/>
        </w:rPr>
        <w:t xml:space="preserve">obligation </w:t>
      </w:r>
      <w:r w:rsidRPr="00870D9A">
        <w:rPr>
          <w:szCs w:val="24"/>
          <w:lang w:val="fr-FR" w:eastAsia="fr-FR"/>
        </w:rPr>
        <w:lastRenderedPageBreak/>
        <w:t xml:space="preserve">positive de mettre en place un système qui soit effectif en pratique comme en droit et qui </w:t>
      </w:r>
      <w:r w:rsidR="00C6070F" w:rsidRPr="00870D9A">
        <w:rPr>
          <w:szCs w:val="24"/>
          <w:lang w:val="fr-FR" w:eastAsia="fr-FR"/>
        </w:rPr>
        <w:t>permet d</w:t>
      </w:r>
      <w:r w:rsidR="00870D9A" w:rsidRPr="00870D9A">
        <w:rPr>
          <w:szCs w:val="24"/>
          <w:lang w:val="fr-FR" w:eastAsia="fr-FR"/>
        </w:rPr>
        <w:t>’</w:t>
      </w:r>
      <w:r w:rsidRPr="00870D9A">
        <w:rPr>
          <w:szCs w:val="24"/>
          <w:lang w:val="fr-FR" w:eastAsia="fr-FR"/>
        </w:rPr>
        <w:t>assure</w:t>
      </w:r>
      <w:r w:rsidR="00C6070F" w:rsidRPr="00870D9A">
        <w:rPr>
          <w:szCs w:val="24"/>
          <w:lang w:val="fr-FR" w:eastAsia="fr-FR"/>
        </w:rPr>
        <w:t>r</w:t>
      </w:r>
      <w:r w:rsidRPr="00870D9A">
        <w:rPr>
          <w:szCs w:val="24"/>
          <w:lang w:val="fr-FR" w:eastAsia="fr-FR"/>
        </w:rPr>
        <w:t xml:space="preserve"> l</w:t>
      </w:r>
      <w:r w:rsidR="00870D9A" w:rsidRPr="00870D9A">
        <w:rPr>
          <w:szCs w:val="24"/>
          <w:lang w:val="fr-FR" w:eastAsia="fr-FR"/>
        </w:rPr>
        <w:t>’</w:t>
      </w:r>
      <w:r w:rsidRPr="00870D9A">
        <w:rPr>
          <w:szCs w:val="24"/>
          <w:lang w:val="fr-FR" w:eastAsia="fr-FR"/>
        </w:rPr>
        <w:t>exécution des décisions judiciaires définitives entre personnes privées (</w:t>
      </w:r>
      <w:proofErr w:type="spellStart"/>
      <w:r w:rsidRPr="00870D9A">
        <w:rPr>
          <w:i/>
          <w:szCs w:val="24"/>
          <w:lang w:val="fr-FR" w:eastAsia="fr-FR"/>
        </w:rPr>
        <w:t>Fouklev</w:t>
      </w:r>
      <w:proofErr w:type="spellEnd"/>
      <w:r w:rsidRPr="00870D9A">
        <w:rPr>
          <w:i/>
          <w:szCs w:val="24"/>
          <w:lang w:val="fr-FR" w:eastAsia="fr-FR"/>
        </w:rPr>
        <w:t xml:space="preserve"> c. Ukraine</w:t>
      </w:r>
      <w:r w:rsidRPr="00870D9A">
        <w:rPr>
          <w:szCs w:val="24"/>
          <w:lang w:val="fr-FR" w:eastAsia="fr-FR"/>
        </w:rPr>
        <w:t>, n</w:t>
      </w:r>
      <w:r w:rsidRPr="00870D9A">
        <w:rPr>
          <w:szCs w:val="24"/>
          <w:vertAlign w:val="superscript"/>
          <w:lang w:val="fr-FR" w:eastAsia="fr-FR"/>
        </w:rPr>
        <w:t>o</w:t>
      </w:r>
      <w:r w:rsidRPr="00870D9A">
        <w:rPr>
          <w:szCs w:val="24"/>
          <w:lang w:val="fr-FR" w:eastAsia="fr-FR"/>
        </w:rPr>
        <w:t> 71186/01, § 84, 7 juin 2005</w:t>
      </w:r>
      <w:r w:rsidR="00030A8A" w:rsidRPr="00870D9A">
        <w:rPr>
          <w:szCs w:val="24"/>
          <w:lang w:val="fr-FR" w:eastAsia="fr-FR"/>
        </w:rPr>
        <w:t>). La responsabilité des États concernant l</w:t>
      </w:r>
      <w:r w:rsidR="00870D9A" w:rsidRPr="00870D9A">
        <w:rPr>
          <w:szCs w:val="24"/>
          <w:lang w:val="fr-FR" w:eastAsia="fr-FR"/>
        </w:rPr>
        <w:t>’</w:t>
      </w:r>
      <w:r w:rsidR="00030A8A" w:rsidRPr="00870D9A">
        <w:rPr>
          <w:szCs w:val="24"/>
          <w:lang w:val="fr-FR" w:eastAsia="fr-FR"/>
        </w:rPr>
        <w:t>exécution d</w:t>
      </w:r>
      <w:r w:rsidR="00870D9A" w:rsidRPr="00870D9A">
        <w:rPr>
          <w:szCs w:val="24"/>
          <w:lang w:val="fr-FR" w:eastAsia="fr-FR"/>
        </w:rPr>
        <w:t>’</w:t>
      </w:r>
      <w:r w:rsidR="00030A8A" w:rsidRPr="00870D9A">
        <w:rPr>
          <w:szCs w:val="24"/>
          <w:lang w:val="fr-FR" w:eastAsia="fr-FR"/>
        </w:rPr>
        <w:t>un jugement par une personne de droit privé peut dès lors se trouver engagée si les autorités publiques impliquées dans les procédures d</w:t>
      </w:r>
      <w:r w:rsidR="00870D9A" w:rsidRPr="00870D9A">
        <w:rPr>
          <w:szCs w:val="24"/>
          <w:lang w:val="fr-FR" w:eastAsia="fr-FR"/>
        </w:rPr>
        <w:t>’</w:t>
      </w:r>
      <w:r w:rsidR="00030A8A" w:rsidRPr="00870D9A">
        <w:rPr>
          <w:szCs w:val="24"/>
          <w:lang w:val="fr-FR" w:eastAsia="fr-FR"/>
        </w:rPr>
        <w:t>exécution manquent de la diligence requise ou encore empêchent l</w:t>
      </w:r>
      <w:r w:rsidR="00870D9A" w:rsidRPr="00870D9A">
        <w:rPr>
          <w:szCs w:val="24"/>
          <w:lang w:val="fr-FR" w:eastAsia="fr-FR"/>
        </w:rPr>
        <w:t>’</w:t>
      </w:r>
      <w:r w:rsidR="00030A8A" w:rsidRPr="00870D9A">
        <w:rPr>
          <w:szCs w:val="24"/>
          <w:lang w:val="fr-FR" w:eastAsia="fr-FR"/>
        </w:rPr>
        <w:t>exécution (</w:t>
      </w:r>
      <w:r w:rsidRPr="00870D9A">
        <w:rPr>
          <w:i/>
          <w:lang w:val="fr-FR"/>
        </w:rPr>
        <w:t xml:space="preserve">Bogdan </w:t>
      </w:r>
      <w:proofErr w:type="spellStart"/>
      <w:r w:rsidRPr="00870D9A">
        <w:rPr>
          <w:i/>
          <w:lang w:val="fr-FR"/>
        </w:rPr>
        <w:t>Vodă</w:t>
      </w:r>
      <w:proofErr w:type="spellEnd"/>
      <w:r w:rsidRPr="00870D9A">
        <w:rPr>
          <w:i/>
          <w:lang w:val="fr-FR"/>
        </w:rPr>
        <w:t xml:space="preserve"> Greek-</w:t>
      </w:r>
      <w:proofErr w:type="spellStart"/>
      <w:r w:rsidRPr="00870D9A">
        <w:rPr>
          <w:i/>
          <w:lang w:val="fr-FR"/>
        </w:rPr>
        <w:t>Catholic</w:t>
      </w:r>
      <w:proofErr w:type="spellEnd"/>
      <w:r w:rsidRPr="00870D9A">
        <w:rPr>
          <w:i/>
          <w:lang w:val="fr-FR"/>
        </w:rPr>
        <w:t xml:space="preserve"> Parish</w:t>
      </w:r>
      <w:r w:rsidRPr="00870D9A">
        <w:rPr>
          <w:lang w:val="fr-FR"/>
        </w:rPr>
        <w:t xml:space="preserve"> </w:t>
      </w:r>
      <w:r w:rsidRPr="00870D9A">
        <w:rPr>
          <w:i/>
          <w:lang w:val="fr-FR"/>
        </w:rPr>
        <w:t>c. Roumanie</w:t>
      </w:r>
      <w:r w:rsidRPr="00870D9A">
        <w:rPr>
          <w:lang w:val="fr-FR"/>
        </w:rPr>
        <w:t>, n</w:t>
      </w:r>
      <w:r w:rsidRPr="00870D9A">
        <w:rPr>
          <w:vertAlign w:val="superscript"/>
          <w:lang w:val="fr-FR"/>
        </w:rPr>
        <w:t>o</w:t>
      </w:r>
      <w:r w:rsidRPr="00870D9A">
        <w:rPr>
          <w:lang w:val="fr-FR"/>
        </w:rPr>
        <w:t> 26270/04</w:t>
      </w:r>
      <w:r w:rsidRPr="00870D9A">
        <w:rPr>
          <w:snapToGrid w:val="0"/>
          <w:lang w:val="fr-FR"/>
        </w:rPr>
        <w:t>, § 44, 1</w:t>
      </w:r>
      <w:r w:rsidRPr="00870D9A">
        <w:rPr>
          <w:lang w:val="fr-FR"/>
        </w:rPr>
        <w:t>9</w:t>
      </w:r>
      <w:r w:rsidRPr="00870D9A">
        <w:rPr>
          <w:snapToGrid w:val="0"/>
          <w:lang w:val="fr-FR"/>
        </w:rPr>
        <w:t xml:space="preserve"> </w:t>
      </w:r>
      <w:r w:rsidRPr="00870D9A">
        <w:rPr>
          <w:lang w:val="fr-FR"/>
        </w:rPr>
        <w:t>novembre</w:t>
      </w:r>
      <w:r w:rsidRPr="00870D9A">
        <w:rPr>
          <w:snapToGrid w:val="0"/>
          <w:lang w:val="fr-FR"/>
        </w:rPr>
        <w:t xml:space="preserve"> 2013, et </w:t>
      </w:r>
      <w:proofErr w:type="spellStart"/>
      <w:r w:rsidRPr="00870D9A">
        <w:rPr>
          <w:i/>
          <w:snapToGrid w:val="0"/>
          <w:lang w:val="fr-FR"/>
        </w:rPr>
        <w:t>Sekul</w:t>
      </w:r>
      <w:proofErr w:type="spellEnd"/>
      <w:r w:rsidRPr="00870D9A">
        <w:rPr>
          <w:i/>
          <w:snapToGrid w:val="0"/>
          <w:lang w:val="fr-FR"/>
        </w:rPr>
        <w:t xml:space="preserve"> c. Croatie</w:t>
      </w:r>
      <w:r w:rsidRPr="00870D9A">
        <w:rPr>
          <w:snapToGrid w:val="0"/>
          <w:lang w:val="fr-FR"/>
        </w:rPr>
        <w:t xml:space="preserve"> (déc.), n</w:t>
      </w:r>
      <w:r w:rsidRPr="00870D9A">
        <w:rPr>
          <w:snapToGrid w:val="0"/>
          <w:vertAlign w:val="superscript"/>
          <w:lang w:val="fr-FR"/>
        </w:rPr>
        <w:t>o</w:t>
      </w:r>
      <w:r w:rsidRPr="00870D9A">
        <w:rPr>
          <w:snapToGrid w:val="0"/>
          <w:lang w:val="fr-FR"/>
        </w:rPr>
        <w:t xml:space="preserve"> 43569/13, §§ 54-55, 30 juin 2015).</w:t>
      </w:r>
    </w:p>
    <w:bookmarkStart w:id="11" w:name="JURISPRUDENCE_ETAT_DEBITEUR"/>
    <w:p w:rsidR="00D00CB8" w:rsidRPr="00870D9A" w:rsidRDefault="00D00CB8" w:rsidP="00870D9A">
      <w:pPr>
        <w:pStyle w:val="ECHRPara"/>
        <w:rPr>
          <w:lang w:val="fr-FR"/>
        </w:rPr>
      </w:pPr>
      <w:r w:rsidRPr="00870D9A">
        <w:rPr>
          <w:szCs w:val="24"/>
          <w:lang w:val="fr-FR" w:eastAsia="fr-FR"/>
        </w:rPr>
        <w:fldChar w:fldCharType="begin"/>
      </w:r>
      <w:r w:rsidRPr="00870D9A">
        <w:rPr>
          <w:szCs w:val="24"/>
          <w:lang w:val="fr-FR" w:eastAsia="fr-FR"/>
        </w:rPr>
        <w:instrText xml:space="preserve"> SEQ level0 \*arabic </w:instrText>
      </w:r>
      <w:r w:rsidRPr="00870D9A">
        <w:rPr>
          <w:szCs w:val="24"/>
          <w:lang w:val="fr-FR" w:eastAsia="fr-FR"/>
        </w:rPr>
        <w:fldChar w:fldCharType="separate"/>
      </w:r>
      <w:r w:rsidR="00870D9A" w:rsidRPr="00870D9A">
        <w:rPr>
          <w:noProof/>
          <w:szCs w:val="24"/>
          <w:lang w:val="fr-FR" w:eastAsia="fr-FR"/>
        </w:rPr>
        <w:t>45</w:t>
      </w:r>
      <w:r w:rsidRPr="00870D9A">
        <w:rPr>
          <w:szCs w:val="24"/>
          <w:lang w:val="fr-FR" w:eastAsia="fr-FR"/>
        </w:rPr>
        <w:fldChar w:fldCharType="end"/>
      </w:r>
      <w:bookmarkEnd w:id="11"/>
      <w:r w:rsidRPr="00870D9A">
        <w:rPr>
          <w:szCs w:val="24"/>
          <w:lang w:val="fr-FR" w:eastAsia="fr-FR"/>
        </w:rPr>
        <w:t>.  Dans le deuxième cas, lorsqu</w:t>
      </w:r>
      <w:r w:rsidR="00870D9A" w:rsidRPr="00870D9A">
        <w:rPr>
          <w:szCs w:val="24"/>
          <w:lang w:val="fr-FR" w:eastAsia="fr-FR"/>
        </w:rPr>
        <w:t>’</w:t>
      </w:r>
      <w:r w:rsidRPr="00870D9A">
        <w:rPr>
          <w:szCs w:val="24"/>
          <w:lang w:val="fr-FR" w:eastAsia="fr-FR"/>
        </w:rPr>
        <w:t>un jugement ou arrêt est prononcé contre l</w:t>
      </w:r>
      <w:r w:rsidR="00870D9A" w:rsidRPr="00870D9A">
        <w:rPr>
          <w:szCs w:val="24"/>
          <w:lang w:val="fr-FR" w:eastAsia="fr-FR"/>
        </w:rPr>
        <w:t>’</w:t>
      </w:r>
      <w:r w:rsidRPr="00870D9A">
        <w:rPr>
          <w:szCs w:val="24"/>
          <w:lang w:val="fr-FR" w:eastAsia="fr-FR"/>
        </w:rPr>
        <w:t>État, le particulier</w:t>
      </w:r>
      <w:r w:rsidRPr="00870D9A">
        <w:rPr>
          <w:szCs w:val="24"/>
          <w:lang w:val="fr-FR"/>
        </w:rPr>
        <w:t xml:space="preserve"> qui a obtenu un jugement contre celui-ci n</w:t>
      </w:r>
      <w:r w:rsidR="00870D9A" w:rsidRPr="00870D9A">
        <w:rPr>
          <w:szCs w:val="24"/>
          <w:lang w:val="fr-FR"/>
        </w:rPr>
        <w:t>’</w:t>
      </w:r>
      <w:r w:rsidRPr="00870D9A">
        <w:rPr>
          <w:szCs w:val="24"/>
          <w:lang w:val="fr-FR"/>
        </w:rPr>
        <w:t>a normalement pas à ouvrir une procédure distincte pour en obtenir l</w:t>
      </w:r>
      <w:r w:rsidR="00870D9A" w:rsidRPr="00870D9A">
        <w:rPr>
          <w:szCs w:val="24"/>
          <w:lang w:val="fr-FR"/>
        </w:rPr>
        <w:t>’</w:t>
      </w:r>
      <w:r w:rsidRPr="00870D9A">
        <w:rPr>
          <w:szCs w:val="24"/>
          <w:lang w:val="fr-FR"/>
        </w:rPr>
        <w:t>exécution forcée (</w:t>
      </w:r>
      <w:proofErr w:type="spellStart"/>
      <w:r w:rsidRPr="00870D9A">
        <w:rPr>
          <w:i/>
          <w:lang w:val="fr-FR"/>
        </w:rPr>
        <w:t>Metaxas</w:t>
      </w:r>
      <w:proofErr w:type="spellEnd"/>
      <w:r w:rsidR="00C6070F" w:rsidRPr="00870D9A">
        <w:rPr>
          <w:lang w:val="fr-FR"/>
        </w:rPr>
        <w:t>, précité, § 19).</w:t>
      </w:r>
      <w:r w:rsidRPr="00870D9A">
        <w:rPr>
          <w:lang w:val="fr-FR"/>
        </w:rPr>
        <w:t xml:space="preserve"> </w:t>
      </w:r>
      <w:r w:rsidR="00C6070F" w:rsidRPr="00870D9A">
        <w:rPr>
          <w:lang w:val="fr-FR"/>
        </w:rPr>
        <w:t>I</w:t>
      </w:r>
      <w:r w:rsidRPr="00870D9A">
        <w:rPr>
          <w:lang w:val="fr-FR"/>
        </w:rPr>
        <w:t xml:space="preserve">l lui suffit de </w:t>
      </w:r>
      <w:r w:rsidR="00A80D9E" w:rsidRPr="00870D9A">
        <w:rPr>
          <w:lang w:val="fr-FR"/>
        </w:rPr>
        <w:t xml:space="preserve">le </w:t>
      </w:r>
      <w:r w:rsidRPr="00870D9A">
        <w:rPr>
          <w:lang w:val="fr-FR"/>
        </w:rPr>
        <w:t>signifier en bonne et due forme à l</w:t>
      </w:r>
      <w:r w:rsidR="00870D9A" w:rsidRPr="00870D9A">
        <w:rPr>
          <w:lang w:val="fr-FR"/>
        </w:rPr>
        <w:t>’</w:t>
      </w:r>
      <w:r w:rsidRPr="00870D9A">
        <w:rPr>
          <w:lang w:val="fr-FR"/>
        </w:rPr>
        <w:t>autorité</w:t>
      </w:r>
      <w:r w:rsidR="00C6070F" w:rsidRPr="00870D9A">
        <w:rPr>
          <w:lang w:val="fr-FR"/>
        </w:rPr>
        <w:t xml:space="preserve"> étatique</w:t>
      </w:r>
      <w:r w:rsidRPr="00870D9A">
        <w:rPr>
          <w:lang w:val="fr-FR"/>
        </w:rPr>
        <w:t xml:space="preserve"> concernée (</w:t>
      </w:r>
      <w:proofErr w:type="spellStart"/>
      <w:r w:rsidRPr="00870D9A">
        <w:rPr>
          <w:i/>
          <w:lang w:val="fr-FR"/>
        </w:rPr>
        <w:t>Akachev</w:t>
      </w:r>
      <w:proofErr w:type="spellEnd"/>
      <w:r w:rsidRPr="00870D9A">
        <w:rPr>
          <w:i/>
          <w:lang w:val="fr-FR"/>
        </w:rPr>
        <w:t xml:space="preserve"> c. Russie</w:t>
      </w:r>
      <w:r w:rsidRPr="00870D9A">
        <w:rPr>
          <w:lang w:val="fr-FR"/>
        </w:rPr>
        <w:t>, n</w:t>
      </w:r>
      <w:r w:rsidRPr="00870D9A">
        <w:rPr>
          <w:vertAlign w:val="superscript"/>
          <w:lang w:val="fr-FR"/>
        </w:rPr>
        <w:t>o</w:t>
      </w:r>
      <w:r w:rsidRPr="00870D9A">
        <w:rPr>
          <w:lang w:val="fr-FR"/>
        </w:rPr>
        <w:t> 30616/05, § 21, 12 juin 2008) ou d</w:t>
      </w:r>
      <w:r w:rsidR="00870D9A" w:rsidRPr="00870D9A">
        <w:rPr>
          <w:lang w:val="fr-FR"/>
        </w:rPr>
        <w:t>’</w:t>
      </w:r>
      <w:r w:rsidRPr="00870D9A">
        <w:rPr>
          <w:lang w:val="fr-FR"/>
        </w:rPr>
        <w:t>effectuer certaines démarches procédurales</w:t>
      </w:r>
      <w:r w:rsidR="00A80D9E" w:rsidRPr="00870D9A">
        <w:rPr>
          <w:lang w:val="fr-FR"/>
        </w:rPr>
        <w:t xml:space="preserve"> de nature formelle</w:t>
      </w:r>
      <w:r w:rsidRPr="00870D9A">
        <w:rPr>
          <w:lang w:val="fr-FR"/>
        </w:rPr>
        <w:t xml:space="preserve"> (</w:t>
      </w:r>
      <w:proofErr w:type="spellStart"/>
      <w:r w:rsidRPr="00870D9A">
        <w:rPr>
          <w:i/>
          <w:szCs w:val="24"/>
          <w:lang w:val="fr-FR"/>
        </w:rPr>
        <w:t>Chvedov</w:t>
      </w:r>
      <w:proofErr w:type="spellEnd"/>
      <w:r w:rsidRPr="00870D9A">
        <w:rPr>
          <w:i/>
          <w:szCs w:val="24"/>
          <w:lang w:val="fr-FR"/>
        </w:rPr>
        <w:t xml:space="preserve"> c. Russie</w:t>
      </w:r>
      <w:r w:rsidRPr="00870D9A">
        <w:rPr>
          <w:szCs w:val="24"/>
          <w:lang w:val="fr-FR"/>
        </w:rPr>
        <w:t>, n</w:t>
      </w:r>
      <w:r w:rsidRPr="00870D9A">
        <w:rPr>
          <w:szCs w:val="24"/>
          <w:vertAlign w:val="superscript"/>
          <w:lang w:val="fr-FR"/>
        </w:rPr>
        <w:t>o</w:t>
      </w:r>
      <w:r w:rsidRPr="00870D9A">
        <w:rPr>
          <w:szCs w:val="24"/>
          <w:lang w:val="fr-FR"/>
        </w:rPr>
        <w:t xml:space="preserve"> 69306/01, §§ 29-37,</w:t>
      </w:r>
      <w:r w:rsidRPr="00870D9A">
        <w:rPr>
          <w:lang w:val="fr-FR"/>
        </w:rPr>
        <w:t xml:space="preserve"> 20 octobre 2005, et </w:t>
      </w:r>
      <w:proofErr w:type="spellStart"/>
      <w:r w:rsidRPr="00870D9A">
        <w:rPr>
          <w:i/>
          <w:lang w:val="fr-FR"/>
        </w:rPr>
        <w:t>Kosmidis</w:t>
      </w:r>
      <w:proofErr w:type="spellEnd"/>
      <w:r w:rsidRPr="00870D9A">
        <w:rPr>
          <w:i/>
          <w:lang w:val="fr-FR"/>
        </w:rPr>
        <w:t xml:space="preserve"> et </w:t>
      </w:r>
      <w:proofErr w:type="spellStart"/>
      <w:r w:rsidRPr="00870D9A">
        <w:rPr>
          <w:i/>
          <w:lang w:val="fr-FR"/>
        </w:rPr>
        <w:t>Kosmidou</w:t>
      </w:r>
      <w:proofErr w:type="spellEnd"/>
      <w:r w:rsidRPr="00870D9A">
        <w:rPr>
          <w:i/>
          <w:lang w:val="fr-FR"/>
        </w:rPr>
        <w:t xml:space="preserve"> c. Grèce</w:t>
      </w:r>
      <w:r w:rsidRPr="00870D9A">
        <w:rPr>
          <w:lang w:val="fr-FR"/>
        </w:rPr>
        <w:t>, n</w:t>
      </w:r>
      <w:r w:rsidRPr="00870D9A">
        <w:rPr>
          <w:vertAlign w:val="superscript"/>
          <w:lang w:val="fr-FR"/>
        </w:rPr>
        <w:t>o</w:t>
      </w:r>
      <w:r w:rsidRPr="00870D9A">
        <w:rPr>
          <w:lang w:val="fr-FR"/>
        </w:rPr>
        <w:t xml:space="preserve"> 32141/04, § 24, 8</w:t>
      </w:r>
      <w:proofErr w:type="gramStart"/>
      <w:r w:rsidR="00BC7129" w:rsidRPr="00870D9A">
        <w:rPr>
          <w:lang w:val="fr-FR"/>
        </w:rPr>
        <w:t> </w:t>
      </w:r>
      <w:r w:rsidRPr="00870D9A">
        <w:rPr>
          <w:lang w:val="fr-FR"/>
        </w:rPr>
        <w:t xml:space="preserve"> novembre</w:t>
      </w:r>
      <w:proofErr w:type="gramEnd"/>
      <w:r w:rsidRPr="00870D9A">
        <w:rPr>
          <w:lang w:val="fr-FR"/>
        </w:rPr>
        <w:t xml:space="preserve"> 2007). </w:t>
      </w:r>
      <w:proofErr w:type="gramStart"/>
      <w:r w:rsidRPr="00870D9A">
        <w:rPr>
          <w:lang w:val="fr-FR"/>
        </w:rPr>
        <w:t>Son obligation de coopérer ne doit toutefois pas excéder ce qui est strictement nécessaire</w:t>
      </w:r>
      <w:r w:rsidR="00C6070F" w:rsidRPr="00870D9A">
        <w:rPr>
          <w:lang w:val="fr-FR"/>
        </w:rPr>
        <w:t xml:space="preserve"> à l</w:t>
      </w:r>
      <w:r w:rsidR="00870D9A" w:rsidRPr="00870D9A">
        <w:rPr>
          <w:lang w:val="fr-FR"/>
        </w:rPr>
        <w:t>’</w:t>
      </w:r>
      <w:r w:rsidR="00C6070F" w:rsidRPr="00870D9A">
        <w:rPr>
          <w:lang w:val="fr-FR"/>
        </w:rPr>
        <w:t>exécution de la décision</w:t>
      </w:r>
      <w:r w:rsidRPr="00870D9A">
        <w:rPr>
          <w:lang w:val="fr-FR"/>
        </w:rPr>
        <w:t xml:space="preserve"> et, quoi qu</w:t>
      </w:r>
      <w:r w:rsidR="00870D9A" w:rsidRPr="00870D9A">
        <w:rPr>
          <w:lang w:val="fr-FR"/>
        </w:rPr>
        <w:t>’</w:t>
      </w:r>
      <w:r w:rsidRPr="00870D9A">
        <w:rPr>
          <w:lang w:val="fr-FR"/>
        </w:rPr>
        <w:t>il en soit, elle n</w:t>
      </w:r>
      <w:r w:rsidR="00870D9A" w:rsidRPr="00870D9A">
        <w:rPr>
          <w:lang w:val="fr-FR"/>
        </w:rPr>
        <w:t>’</w:t>
      </w:r>
      <w:r w:rsidRPr="00870D9A">
        <w:rPr>
          <w:lang w:val="fr-FR"/>
        </w:rPr>
        <w:t>exonère pas l</w:t>
      </w:r>
      <w:r w:rsidR="00870D9A" w:rsidRPr="00870D9A">
        <w:rPr>
          <w:lang w:val="fr-FR"/>
        </w:rPr>
        <w:t>’</w:t>
      </w:r>
      <w:r w:rsidRPr="00870D9A">
        <w:rPr>
          <w:lang w:val="fr-FR"/>
        </w:rPr>
        <w:t>administration de l</w:t>
      </w:r>
      <w:r w:rsidR="00870D9A" w:rsidRPr="00870D9A">
        <w:rPr>
          <w:lang w:val="fr-FR"/>
        </w:rPr>
        <w:t>’</w:t>
      </w:r>
      <w:r w:rsidRPr="00870D9A">
        <w:rPr>
          <w:lang w:val="fr-FR"/>
        </w:rPr>
        <w:t>obligation d</w:t>
      </w:r>
      <w:r w:rsidR="00870D9A" w:rsidRPr="00870D9A">
        <w:rPr>
          <w:lang w:val="fr-FR"/>
        </w:rPr>
        <w:t>’</w:t>
      </w:r>
      <w:r w:rsidRPr="00870D9A">
        <w:rPr>
          <w:lang w:val="fr-FR"/>
        </w:rPr>
        <w:t>agir de sa propre initiative et dans les délais prévus (</w:t>
      </w:r>
      <w:proofErr w:type="spellStart"/>
      <w:r w:rsidRPr="00870D9A">
        <w:rPr>
          <w:i/>
          <w:lang w:val="fr-FR"/>
        </w:rPr>
        <w:t>Akachev</w:t>
      </w:r>
      <w:proofErr w:type="spellEnd"/>
      <w:r w:rsidRPr="00870D9A">
        <w:rPr>
          <w:lang w:val="fr-FR"/>
        </w:rPr>
        <w:t xml:space="preserve">, précité, § 22, </w:t>
      </w:r>
      <w:proofErr w:type="spellStart"/>
      <w:r w:rsidRPr="00870D9A">
        <w:rPr>
          <w:i/>
          <w:lang w:val="fr-FR"/>
        </w:rPr>
        <w:t>Bourdov</w:t>
      </w:r>
      <w:proofErr w:type="spellEnd"/>
      <w:r w:rsidRPr="00870D9A">
        <w:rPr>
          <w:lang w:val="fr-FR"/>
        </w:rPr>
        <w:t xml:space="preserve">, précité, § 35, et </w:t>
      </w:r>
      <w:proofErr w:type="spellStart"/>
      <w:r w:rsidRPr="00870D9A">
        <w:rPr>
          <w:i/>
          <w:lang w:val="fr-FR"/>
        </w:rPr>
        <w:t>Koukalo</w:t>
      </w:r>
      <w:proofErr w:type="spellEnd"/>
      <w:r w:rsidRPr="00870D9A">
        <w:rPr>
          <w:i/>
          <w:lang w:val="fr-FR"/>
        </w:rPr>
        <w:t xml:space="preserve"> c. Russie</w:t>
      </w:r>
      <w:r w:rsidRPr="00870D9A">
        <w:rPr>
          <w:lang w:val="fr-FR"/>
        </w:rPr>
        <w:t>, n</w:t>
      </w:r>
      <w:r w:rsidRPr="00870D9A">
        <w:rPr>
          <w:vertAlign w:val="superscript"/>
          <w:lang w:val="fr-FR"/>
        </w:rPr>
        <w:t>o</w:t>
      </w:r>
      <w:r w:rsidRPr="00870D9A">
        <w:rPr>
          <w:lang w:val="fr-FR"/>
        </w:rPr>
        <w:t xml:space="preserve"> 63995/00, § 49, 3 novembre 2005), notamment en organisant son système judiciaire (voir, </w:t>
      </w:r>
      <w:r w:rsidRPr="00870D9A">
        <w:rPr>
          <w:i/>
          <w:lang w:val="fr-FR"/>
        </w:rPr>
        <w:t>mutatis mutandis</w:t>
      </w:r>
      <w:r w:rsidRPr="00870D9A">
        <w:rPr>
          <w:lang w:val="fr-FR"/>
        </w:rPr>
        <w:t xml:space="preserve">, </w:t>
      </w:r>
      <w:proofErr w:type="spellStart"/>
      <w:r w:rsidRPr="00870D9A">
        <w:rPr>
          <w:i/>
          <w:lang w:val="fr-FR"/>
        </w:rPr>
        <w:t>Comingersoll</w:t>
      </w:r>
      <w:proofErr w:type="spellEnd"/>
      <w:r w:rsidRPr="00870D9A">
        <w:rPr>
          <w:i/>
          <w:lang w:val="fr-FR"/>
        </w:rPr>
        <w:t xml:space="preserve"> S.A. c. Portugal</w:t>
      </w:r>
      <w:r w:rsidRPr="00870D9A">
        <w:rPr>
          <w:lang w:val="fr-FR"/>
        </w:rPr>
        <w:t xml:space="preserve"> [GC], n</w:t>
      </w:r>
      <w:r w:rsidRPr="00870D9A">
        <w:rPr>
          <w:vertAlign w:val="superscript"/>
          <w:lang w:val="fr-FR"/>
        </w:rPr>
        <w:t>o</w:t>
      </w:r>
      <w:r w:rsidRPr="00870D9A">
        <w:rPr>
          <w:lang w:val="fr-FR"/>
        </w:rPr>
        <w:t xml:space="preserve"> 35382/97, § 24, CEDH 2000</w:t>
      </w:r>
      <w:r w:rsidRPr="00870D9A">
        <w:rPr>
          <w:lang w:val="fr-FR"/>
        </w:rPr>
        <w:noBreakHyphen/>
        <w:t xml:space="preserve">IV, et </w:t>
      </w:r>
      <w:proofErr w:type="spellStart"/>
      <w:r w:rsidRPr="00870D9A">
        <w:rPr>
          <w:i/>
          <w:lang w:val="fr-FR"/>
        </w:rPr>
        <w:t>Frydlender</w:t>
      </w:r>
      <w:proofErr w:type="spellEnd"/>
      <w:r w:rsidRPr="00870D9A">
        <w:rPr>
          <w:i/>
          <w:lang w:val="fr-FR"/>
        </w:rPr>
        <w:t xml:space="preserve"> c. France</w:t>
      </w:r>
      <w:r w:rsidRPr="00870D9A">
        <w:rPr>
          <w:lang w:val="fr-FR"/>
        </w:rPr>
        <w:t xml:space="preserve"> [GC], n</w:t>
      </w:r>
      <w:r w:rsidRPr="00870D9A">
        <w:rPr>
          <w:vertAlign w:val="superscript"/>
          <w:lang w:val="fr-FR"/>
        </w:rPr>
        <w:t>o</w:t>
      </w:r>
      <w:r w:rsidRPr="00870D9A">
        <w:rPr>
          <w:lang w:val="fr-FR"/>
        </w:rPr>
        <w:t> 30979/96, § 45, CEDH 2000</w:t>
      </w:r>
      <w:r w:rsidRPr="00870D9A">
        <w:rPr>
          <w:lang w:val="fr-FR"/>
        </w:rPr>
        <w:noBreakHyphen/>
        <w:t>VII).</w:t>
      </w:r>
      <w:proofErr w:type="gramEnd"/>
    </w:p>
    <w:p w:rsidR="00F41A35" w:rsidRPr="00870D9A" w:rsidRDefault="00F41A35" w:rsidP="00870D9A">
      <w:pPr>
        <w:pStyle w:val="ECHRPara"/>
        <w:rPr>
          <w:szCs w:val="24"/>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46</w:t>
      </w:r>
      <w:r w:rsidRPr="00870D9A">
        <w:rPr>
          <w:lang w:val="fr-FR"/>
        </w:rPr>
        <w:fldChar w:fldCharType="end"/>
      </w:r>
      <w:r w:rsidRPr="00870D9A">
        <w:rPr>
          <w:lang w:val="fr-FR"/>
        </w:rPr>
        <w:t>.  Un délai d</w:t>
      </w:r>
      <w:r w:rsidR="00870D9A" w:rsidRPr="00870D9A">
        <w:rPr>
          <w:lang w:val="fr-FR"/>
        </w:rPr>
        <w:t>’</w:t>
      </w:r>
      <w:r w:rsidRPr="00870D9A">
        <w:rPr>
          <w:lang w:val="fr-FR"/>
        </w:rPr>
        <w:t>exécution déraisonnablement long d</w:t>
      </w:r>
      <w:r w:rsidR="00870D9A" w:rsidRPr="00870D9A">
        <w:rPr>
          <w:lang w:val="fr-FR"/>
        </w:rPr>
        <w:t>’</w:t>
      </w:r>
      <w:r w:rsidRPr="00870D9A">
        <w:rPr>
          <w:lang w:val="fr-FR"/>
        </w:rPr>
        <w:t>un jugement obligatoire peut donc emporter violation de la Convention (</w:t>
      </w:r>
      <w:proofErr w:type="spellStart"/>
      <w:r w:rsidRPr="00870D9A">
        <w:rPr>
          <w:i/>
          <w:lang w:val="fr-FR"/>
        </w:rPr>
        <w:t>Bourdov</w:t>
      </w:r>
      <w:proofErr w:type="spellEnd"/>
      <w:r w:rsidRPr="00870D9A">
        <w:rPr>
          <w:lang w:val="fr-FR"/>
        </w:rPr>
        <w:t>, précité</w:t>
      </w:r>
      <w:r w:rsidR="00864C86" w:rsidRPr="00870D9A">
        <w:rPr>
          <w:lang w:val="fr-FR"/>
        </w:rPr>
        <w:t>, § 73</w:t>
      </w:r>
      <w:r w:rsidRPr="00870D9A">
        <w:rPr>
          <w:lang w:val="fr-FR"/>
        </w:rPr>
        <w:t>). Le caractère raisonnable d</w:t>
      </w:r>
      <w:r w:rsidR="00870D9A" w:rsidRPr="00870D9A">
        <w:rPr>
          <w:lang w:val="fr-FR"/>
        </w:rPr>
        <w:t>’</w:t>
      </w:r>
      <w:r w:rsidRPr="00870D9A">
        <w:rPr>
          <w:lang w:val="fr-FR"/>
        </w:rPr>
        <w:t>un tel délai doit s</w:t>
      </w:r>
      <w:r w:rsidR="00870D9A" w:rsidRPr="00870D9A">
        <w:rPr>
          <w:lang w:val="fr-FR"/>
        </w:rPr>
        <w:t>’</w:t>
      </w:r>
      <w:r w:rsidRPr="00870D9A">
        <w:rPr>
          <w:lang w:val="fr-FR"/>
        </w:rPr>
        <w:t>apprécier en tenant compte en particulier de la complexité de la procédure d</w:t>
      </w:r>
      <w:r w:rsidR="00870D9A" w:rsidRPr="00870D9A">
        <w:rPr>
          <w:lang w:val="fr-FR"/>
        </w:rPr>
        <w:t>’</w:t>
      </w:r>
      <w:r w:rsidRPr="00870D9A">
        <w:rPr>
          <w:lang w:val="fr-FR"/>
        </w:rPr>
        <w:t>exécution, du comportement du requérant et des autorités compétentes et du montant et de la nature de la somme accordée par le juge (</w:t>
      </w:r>
      <w:proofErr w:type="spellStart"/>
      <w:r w:rsidRPr="00870D9A">
        <w:rPr>
          <w:i/>
          <w:szCs w:val="24"/>
          <w:lang w:val="fr-FR"/>
        </w:rPr>
        <w:t>Raïlian</w:t>
      </w:r>
      <w:proofErr w:type="spellEnd"/>
      <w:r w:rsidRPr="00870D9A">
        <w:rPr>
          <w:i/>
          <w:szCs w:val="24"/>
          <w:lang w:val="fr-FR"/>
        </w:rPr>
        <w:t xml:space="preserve"> c. Russie</w:t>
      </w:r>
      <w:r w:rsidRPr="00870D9A">
        <w:rPr>
          <w:szCs w:val="24"/>
          <w:lang w:val="fr-FR"/>
        </w:rPr>
        <w:t>, n</w:t>
      </w:r>
      <w:r w:rsidRPr="00870D9A">
        <w:rPr>
          <w:szCs w:val="24"/>
          <w:vertAlign w:val="superscript"/>
          <w:lang w:val="fr-FR"/>
        </w:rPr>
        <w:t>o</w:t>
      </w:r>
      <w:r w:rsidRPr="00870D9A">
        <w:rPr>
          <w:szCs w:val="24"/>
          <w:lang w:val="fr-FR"/>
        </w:rPr>
        <w:t> 22000/03, § 31, 15 février 2007).</w:t>
      </w:r>
    </w:p>
    <w:p w:rsidR="00D00CB8" w:rsidRPr="00870D9A" w:rsidRDefault="00D00CB8" w:rsidP="00870D9A">
      <w:pPr>
        <w:pStyle w:val="ECHRPara"/>
        <w:rPr>
          <w:szCs w:val="24"/>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47</w:t>
      </w:r>
      <w:r w:rsidRPr="00870D9A">
        <w:rPr>
          <w:lang w:val="fr-FR"/>
        </w:rPr>
        <w:fldChar w:fldCharType="end"/>
      </w:r>
      <w:r w:rsidRPr="00870D9A">
        <w:rPr>
          <w:lang w:val="fr-FR"/>
        </w:rPr>
        <w:t>.  </w:t>
      </w:r>
      <w:r w:rsidRPr="00870D9A">
        <w:rPr>
          <w:szCs w:val="24"/>
          <w:lang w:val="fr-FR"/>
        </w:rPr>
        <w:t>La Cour a déjà jugé que, lorsque l</w:t>
      </w:r>
      <w:r w:rsidR="00870D9A" w:rsidRPr="00870D9A">
        <w:rPr>
          <w:szCs w:val="24"/>
          <w:lang w:val="fr-FR"/>
        </w:rPr>
        <w:t>’</w:t>
      </w:r>
      <w:r w:rsidRPr="00870D9A">
        <w:rPr>
          <w:szCs w:val="24"/>
          <w:lang w:val="fr-FR"/>
        </w:rPr>
        <w:t>exécution ne posait aucun problème particulier, s</w:t>
      </w:r>
      <w:r w:rsidR="00870D9A" w:rsidRPr="00870D9A">
        <w:rPr>
          <w:szCs w:val="24"/>
          <w:lang w:val="fr-FR"/>
        </w:rPr>
        <w:t>’</w:t>
      </w:r>
      <w:r w:rsidRPr="00870D9A">
        <w:rPr>
          <w:szCs w:val="24"/>
          <w:lang w:val="fr-FR"/>
        </w:rPr>
        <w:t>agissant du versement d</w:t>
      </w:r>
      <w:r w:rsidR="00870D9A" w:rsidRPr="00870D9A">
        <w:rPr>
          <w:szCs w:val="24"/>
          <w:lang w:val="fr-FR"/>
        </w:rPr>
        <w:t>’</w:t>
      </w:r>
      <w:r w:rsidRPr="00870D9A">
        <w:rPr>
          <w:szCs w:val="24"/>
          <w:lang w:val="fr-FR"/>
        </w:rPr>
        <w:t>une somme d</w:t>
      </w:r>
      <w:r w:rsidR="00870D9A" w:rsidRPr="00870D9A">
        <w:rPr>
          <w:szCs w:val="24"/>
          <w:lang w:val="fr-FR"/>
        </w:rPr>
        <w:t>’</w:t>
      </w:r>
      <w:r w:rsidRPr="00870D9A">
        <w:rPr>
          <w:szCs w:val="24"/>
          <w:lang w:val="fr-FR"/>
        </w:rPr>
        <w:t>argent, un délai d</w:t>
      </w:r>
      <w:r w:rsidR="00870D9A" w:rsidRPr="00870D9A">
        <w:rPr>
          <w:szCs w:val="24"/>
          <w:lang w:val="fr-FR"/>
        </w:rPr>
        <w:t>’</w:t>
      </w:r>
      <w:r w:rsidRPr="00870D9A">
        <w:rPr>
          <w:szCs w:val="24"/>
          <w:lang w:val="fr-FR"/>
        </w:rPr>
        <w:t xml:space="preserve">un an et trois mois méconnaissait </w:t>
      </w:r>
      <w:r w:rsidRPr="00870D9A">
        <w:rPr>
          <w:i/>
          <w:szCs w:val="24"/>
          <w:lang w:val="fr-FR"/>
        </w:rPr>
        <w:t>a priori</w:t>
      </w:r>
      <w:r w:rsidRPr="00870D9A">
        <w:rPr>
          <w:szCs w:val="24"/>
          <w:lang w:val="fr-FR"/>
        </w:rPr>
        <w:t xml:space="preserve"> le droit du requérant à un tribunal et que, en revanche, la non-exécution d</w:t>
      </w:r>
      <w:r w:rsidR="00870D9A" w:rsidRPr="00870D9A">
        <w:rPr>
          <w:szCs w:val="24"/>
          <w:lang w:val="fr-FR"/>
        </w:rPr>
        <w:t>’</w:t>
      </w:r>
      <w:r w:rsidRPr="00870D9A">
        <w:rPr>
          <w:szCs w:val="24"/>
          <w:lang w:val="fr-FR"/>
        </w:rPr>
        <w:t>un jugement pendant six mois n</w:t>
      </w:r>
      <w:r w:rsidR="00870D9A" w:rsidRPr="00870D9A">
        <w:rPr>
          <w:szCs w:val="24"/>
          <w:lang w:val="fr-FR"/>
        </w:rPr>
        <w:t>’</w:t>
      </w:r>
      <w:r w:rsidRPr="00870D9A">
        <w:rPr>
          <w:szCs w:val="24"/>
          <w:lang w:val="fr-FR"/>
        </w:rPr>
        <w:t>était pas déraisonnable en soi (</w:t>
      </w:r>
      <w:proofErr w:type="spellStart"/>
      <w:r w:rsidRPr="00870D9A">
        <w:rPr>
          <w:i/>
          <w:lang w:val="fr-FR"/>
        </w:rPr>
        <w:t>Bourdov</w:t>
      </w:r>
      <w:proofErr w:type="spellEnd"/>
      <w:r w:rsidRPr="00870D9A">
        <w:rPr>
          <w:i/>
          <w:lang w:val="fr-FR"/>
        </w:rPr>
        <w:t xml:space="preserve"> (n</w:t>
      </w:r>
      <w:r w:rsidRPr="00870D9A">
        <w:rPr>
          <w:i/>
          <w:vertAlign w:val="superscript"/>
          <w:lang w:val="fr-FR"/>
        </w:rPr>
        <w:t>o</w:t>
      </w:r>
      <w:r w:rsidRPr="00870D9A">
        <w:rPr>
          <w:i/>
          <w:lang w:val="fr-FR"/>
        </w:rPr>
        <w:t xml:space="preserve"> 2)</w:t>
      </w:r>
      <w:r w:rsidRPr="00870D9A">
        <w:rPr>
          <w:lang w:val="fr-FR"/>
        </w:rPr>
        <w:t>,</w:t>
      </w:r>
      <w:r w:rsidRPr="00870D9A">
        <w:rPr>
          <w:szCs w:val="24"/>
          <w:lang w:val="fr-FR"/>
        </w:rPr>
        <w:t xml:space="preserve"> précité, §§ 83 et 85).</w:t>
      </w:r>
    </w:p>
    <w:bookmarkStart w:id="12" w:name="JURISPRUDENCE_CEDH_EXECUTION_FIN"/>
    <w:p w:rsidR="00D00CB8" w:rsidRPr="00870D9A" w:rsidRDefault="00D00CB8" w:rsidP="00870D9A">
      <w:pPr>
        <w:pStyle w:val="ECHRPara"/>
        <w:rPr>
          <w:szCs w:val="24"/>
          <w:lang w:val="fr-FR"/>
        </w:rPr>
      </w:pPr>
      <w:r w:rsidRPr="00870D9A">
        <w:rPr>
          <w:szCs w:val="24"/>
          <w:lang w:val="fr-FR"/>
        </w:rPr>
        <w:fldChar w:fldCharType="begin"/>
      </w:r>
      <w:r w:rsidRPr="00870D9A">
        <w:rPr>
          <w:szCs w:val="24"/>
          <w:lang w:val="fr-FR"/>
        </w:rPr>
        <w:instrText xml:space="preserve"> SEQ level0 \*arabic </w:instrText>
      </w:r>
      <w:r w:rsidRPr="00870D9A">
        <w:rPr>
          <w:szCs w:val="24"/>
          <w:lang w:val="fr-FR"/>
        </w:rPr>
        <w:fldChar w:fldCharType="separate"/>
      </w:r>
      <w:r w:rsidR="00870D9A" w:rsidRPr="00870D9A">
        <w:rPr>
          <w:noProof/>
          <w:szCs w:val="24"/>
          <w:lang w:val="fr-FR"/>
        </w:rPr>
        <w:t>48</w:t>
      </w:r>
      <w:r w:rsidRPr="00870D9A">
        <w:rPr>
          <w:szCs w:val="24"/>
          <w:lang w:val="fr-FR"/>
        </w:rPr>
        <w:fldChar w:fldCharType="end"/>
      </w:r>
      <w:bookmarkEnd w:id="12"/>
      <w:r w:rsidRPr="00870D9A">
        <w:rPr>
          <w:szCs w:val="24"/>
          <w:lang w:val="fr-FR"/>
        </w:rPr>
        <w:t>.  </w:t>
      </w:r>
      <w:r w:rsidR="004E380E" w:rsidRPr="00870D9A">
        <w:rPr>
          <w:szCs w:val="24"/>
          <w:lang w:val="fr-FR"/>
        </w:rPr>
        <w:t>En ce qui concerne le</w:t>
      </w:r>
      <w:r w:rsidRPr="00870D9A">
        <w:rPr>
          <w:szCs w:val="24"/>
          <w:lang w:val="fr-FR"/>
        </w:rPr>
        <w:t xml:space="preserve"> recours indemnitaire destiné à redresser les conséquences de la durée excessive d</w:t>
      </w:r>
      <w:r w:rsidR="00870D9A" w:rsidRPr="00870D9A">
        <w:rPr>
          <w:szCs w:val="24"/>
          <w:lang w:val="fr-FR"/>
        </w:rPr>
        <w:t>’</w:t>
      </w:r>
      <w:r w:rsidRPr="00870D9A">
        <w:rPr>
          <w:szCs w:val="24"/>
          <w:lang w:val="fr-FR"/>
        </w:rPr>
        <w:t>une procédure, la Cour a admis qu</w:t>
      </w:r>
      <w:r w:rsidR="00870D9A" w:rsidRPr="00870D9A">
        <w:rPr>
          <w:szCs w:val="24"/>
          <w:lang w:val="fr-FR"/>
        </w:rPr>
        <w:t>’</w:t>
      </w:r>
      <w:r w:rsidRPr="00870D9A">
        <w:rPr>
          <w:szCs w:val="24"/>
          <w:lang w:val="fr-FR"/>
        </w:rPr>
        <w:t>une administration pouvait avoir besoin d</w:t>
      </w:r>
      <w:r w:rsidR="00870D9A" w:rsidRPr="00870D9A">
        <w:rPr>
          <w:szCs w:val="24"/>
          <w:lang w:val="fr-FR"/>
        </w:rPr>
        <w:t>’</w:t>
      </w:r>
      <w:r w:rsidRPr="00870D9A">
        <w:rPr>
          <w:szCs w:val="24"/>
          <w:lang w:val="fr-FR"/>
        </w:rPr>
        <w:t>un certain laps de temps pour procéder à un paiement et elle a fixé à six mois, à compter de la date à laquelle la décision d</w:t>
      </w:r>
      <w:r w:rsidR="00870D9A" w:rsidRPr="00870D9A">
        <w:rPr>
          <w:szCs w:val="24"/>
          <w:lang w:val="fr-FR"/>
        </w:rPr>
        <w:t>’</w:t>
      </w:r>
      <w:r w:rsidRPr="00870D9A">
        <w:rPr>
          <w:szCs w:val="24"/>
          <w:lang w:val="fr-FR"/>
        </w:rPr>
        <w:t>indemnisation est devenue exécutoire, le délai de paiement (</w:t>
      </w:r>
      <w:proofErr w:type="spellStart"/>
      <w:r w:rsidRPr="00870D9A">
        <w:rPr>
          <w:i/>
          <w:szCs w:val="24"/>
          <w:lang w:val="fr-FR"/>
        </w:rPr>
        <w:t>Cocchiarella</w:t>
      </w:r>
      <w:proofErr w:type="spellEnd"/>
      <w:r w:rsidRPr="00870D9A">
        <w:rPr>
          <w:szCs w:val="24"/>
          <w:lang w:val="fr-FR"/>
        </w:rPr>
        <w:t>,</w:t>
      </w:r>
      <w:r w:rsidRPr="00870D9A">
        <w:rPr>
          <w:i/>
          <w:szCs w:val="24"/>
          <w:lang w:val="fr-FR"/>
        </w:rPr>
        <w:t xml:space="preserve"> </w:t>
      </w:r>
      <w:r w:rsidRPr="00870D9A">
        <w:rPr>
          <w:szCs w:val="24"/>
          <w:lang w:val="fr-FR"/>
        </w:rPr>
        <w:t>précité, § 89)</w:t>
      </w:r>
      <w:r w:rsidR="00960A78" w:rsidRPr="00870D9A">
        <w:rPr>
          <w:szCs w:val="24"/>
          <w:lang w:val="fr-FR"/>
        </w:rPr>
        <w:t>.</w:t>
      </w:r>
    </w:p>
    <w:p w:rsidR="00960A78" w:rsidRPr="00870D9A" w:rsidRDefault="008011A7" w:rsidP="00870D9A">
      <w:pPr>
        <w:pStyle w:val="ECHRHeading3"/>
        <w:rPr>
          <w:lang w:val="fr-FR"/>
        </w:rPr>
      </w:pPr>
      <w:r w:rsidRPr="00870D9A">
        <w:rPr>
          <w:lang w:val="fr-FR"/>
        </w:rPr>
        <w:lastRenderedPageBreak/>
        <w:t>2.</w:t>
      </w:r>
      <w:r w:rsidR="00B661E1" w:rsidRPr="00870D9A">
        <w:rPr>
          <w:lang w:val="fr-FR"/>
        </w:rPr>
        <w:t>  </w:t>
      </w:r>
      <w:r w:rsidR="00960A78" w:rsidRPr="00870D9A">
        <w:rPr>
          <w:lang w:val="fr-FR"/>
        </w:rPr>
        <w:t>Application des principes au cas d</w:t>
      </w:r>
      <w:r w:rsidR="00870D9A" w:rsidRPr="00870D9A">
        <w:rPr>
          <w:lang w:val="fr-FR"/>
        </w:rPr>
        <w:t>’</w:t>
      </w:r>
      <w:r w:rsidR="00960A78" w:rsidRPr="00870D9A">
        <w:rPr>
          <w:lang w:val="fr-FR"/>
        </w:rPr>
        <w:t>espèce</w:t>
      </w:r>
    </w:p>
    <w:p w:rsidR="00AE4277" w:rsidRPr="00870D9A" w:rsidRDefault="00526F39"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49</w:t>
      </w:r>
      <w:r w:rsidRPr="00870D9A">
        <w:rPr>
          <w:lang w:val="fr-FR"/>
        </w:rPr>
        <w:fldChar w:fldCharType="end"/>
      </w:r>
      <w:r w:rsidRPr="00870D9A">
        <w:rPr>
          <w:lang w:val="fr-FR"/>
        </w:rPr>
        <w:t>.  </w:t>
      </w:r>
      <w:r w:rsidR="00D00CB8" w:rsidRPr="00870D9A">
        <w:rPr>
          <w:lang w:val="fr-FR"/>
        </w:rPr>
        <w:t>Revenant à la présente affaire, la Cour rappelle que l</w:t>
      </w:r>
      <w:r w:rsidR="00DE6C64" w:rsidRPr="00870D9A">
        <w:rPr>
          <w:lang w:val="fr-FR"/>
        </w:rPr>
        <w:t>e jugement du tribunal de Naples a été rendu</w:t>
      </w:r>
      <w:r w:rsidR="00D00CB8" w:rsidRPr="00870D9A">
        <w:rPr>
          <w:lang w:val="fr-FR"/>
        </w:rPr>
        <w:t xml:space="preserve"> le 10 décembre 2002 </w:t>
      </w:r>
      <w:r w:rsidR="00DE6C64" w:rsidRPr="00870D9A">
        <w:rPr>
          <w:lang w:val="fr-FR"/>
        </w:rPr>
        <w:t>et</w:t>
      </w:r>
      <w:r w:rsidR="00030A8A" w:rsidRPr="00870D9A">
        <w:rPr>
          <w:lang w:val="fr-FR"/>
        </w:rPr>
        <w:t xml:space="preserve"> que, faute de notification,</w:t>
      </w:r>
      <w:r w:rsidR="00DE6C64" w:rsidRPr="00870D9A">
        <w:rPr>
          <w:lang w:val="fr-FR"/>
        </w:rPr>
        <w:t xml:space="preserve"> </w:t>
      </w:r>
      <w:r w:rsidR="00030A8A" w:rsidRPr="00870D9A">
        <w:rPr>
          <w:lang w:val="fr-FR"/>
        </w:rPr>
        <w:t xml:space="preserve">il </w:t>
      </w:r>
      <w:r w:rsidR="00DE6C64" w:rsidRPr="00870D9A">
        <w:rPr>
          <w:lang w:val="fr-FR"/>
        </w:rPr>
        <w:t>est</w:t>
      </w:r>
      <w:r w:rsidR="00D00CB8" w:rsidRPr="00870D9A">
        <w:rPr>
          <w:lang w:val="fr-FR"/>
        </w:rPr>
        <w:t xml:space="preserve"> devenu </w:t>
      </w:r>
      <w:r w:rsidR="00DE6C64" w:rsidRPr="00870D9A">
        <w:rPr>
          <w:lang w:val="fr-FR"/>
        </w:rPr>
        <w:t>obligatoire et exécutoire</w:t>
      </w:r>
      <w:r w:rsidR="00D00CB8" w:rsidRPr="00870D9A">
        <w:rPr>
          <w:lang w:val="fr-FR"/>
        </w:rPr>
        <w:t xml:space="preserve"> le 25 janvier 2004. </w:t>
      </w:r>
      <w:r w:rsidR="00960A78" w:rsidRPr="00870D9A">
        <w:rPr>
          <w:lang w:val="fr-FR"/>
        </w:rPr>
        <w:t>À partir de cette date, l</w:t>
      </w:r>
      <w:r w:rsidR="00870D9A" w:rsidRPr="00870D9A">
        <w:rPr>
          <w:lang w:val="fr-FR"/>
        </w:rPr>
        <w:t>’</w:t>
      </w:r>
      <w:r w:rsidR="00960A78" w:rsidRPr="00870D9A">
        <w:rPr>
          <w:lang w:val="fr-FR"/>
        </w:rPr>
        <w:t>autorité défenderesse savait ou était censée savoir qu</w:t>
      </w:r>
      <w:r w:rsidR="00870D9A" w:rsidRPr="00870D9A">
        <w:rPr>
          <w:lang w:val="fr-FR"/>
        </w:rPr>
        <w:t>’</w:t>
      </w:r>
      <w:r w:rsidR="00960A78" w:rsidRPr="00870D9A">
        <w:rPr>
          <w:lang w:val="fr-FR"/>
        </w:rPr>
        <w:t xml:space="preserve">elle était tenue de verser à la requérante la somme </w:t>
      </w:r>
      <w:r w:rsidRPr="00870D9A">
        <w:rPr>
          <w:lang w:val="fr-FR"/>
        </w:rPr>
        <w:t>due</w:t>
      </w:r>
      <w:r w:rsidR="00960A78" w:rsidRPr="00870D9A">
        <w:rPr>
          <w:lang w:val="fr-FR"/>
        </w:rPr>
        <w:t>.</w:t>
      </w:r>
    </w:p>
    <w:p w:rsidR="00B6223D" w:rsidRPr="00870D9A" w:rsidRDefault="00030A8A"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50</w:t>
      </w:r>
      <w:r w:rsidRPr="00870D9A">
        <w:rPr>
          <w:lang w:val="fr-FR"/>
        </w:rPr>
        <w:fldChar w:fldCharType="end"/>
      </w:r>
      <w:r w:rsidRPr="00870D9A">
        <w:rPr>
          <w:lang w:val="fr-FR"/>
        </w:rPr>
        <w:t>.  </w:t>
      </w:r>
      <w:r w:rsidR="00526F39" w:rsidRPr="00870D9A">
        <w:rPr>
          <w:lang w:val="fr-FR"/>
        </w:rPr>
        <w:t>Selon la jurisprudence citée plus</w:t>
      </w:r>
      <w:r w:rsidR="00EA4F1A" w:rsidRPr="00870D9A">
        <w:rPr>
          <w:lang w:val="fr-FR"/>
        </w:rPr>
        <w:t xml:space="preserve"> haut</w:t>
      </w:r>
      <w:r w:rsidR="00526F39" w:rsidRPr="00870D9A">
        <w:rPr>
          <w:lang w:val="fr-FR"/>
        </w:rPr>
        <w:t xml:space="preserve"> (voir paragraphes</w:t>
      </w:r>
      <w:r w:rsidR="00767F79" w:rsidRPr="00870D9A">
        <w:rPr>
          <w:lang w:val="fr-FR"/>
        </w:rPr>
        <w:t xml:space="preserve"> </w:t>
      </w:r>
      <w:r w:rsidR="00767F79" w:rsidRPr="00870D9A">
        <w:rPr>
          <w:lang w:val="fr-FR"/>
        </w:rPr>
        <w:fldChar w:fldCharType="begin"/>
      </w:r>
      <w:r w:rsidR="00767F79" w:rsidRPr="00870D9A">
        <w:rPr>
          <w:lang w:val="fr-FR"/>
        </w:rPr>
        <w:instrText xml:space="preserve"> REF JURISPRUDENCE_CEDH_EXECUTION_DEBUT \h </w:instrText>
      </w:r>
      <w:r w:rsidR="00767F79" w:rsidRPr="00870D9A">
        <w:rPr>
          <w:lang w:val="fr-FR"/>
        </w:rPr>
      </w:r>
      <w:r w:rsidR="00767F79" w:rsidRPr="00870D9A">
        <w:rPr>
          <w:lang w:val="fr-FR"/>
        </w:rPr>
        <w:fldChar w:fldCharType="separate"/>
      </w:r>
      <w:r w:rsidR="00870D9A" w:rsidRPr="00870D9A">
        <w:rPr>
          <w:noProof/>
          <w:lang w:val="fr-FR"/>
        </w:rPr>
        <w:t>42</w:t>
      </w:r>
      <w:r w:rsidR="00767F79" w:rsidRPr="00870D9A">
        <w:rPr>
          <w:lang w:val="fr-FR"/>
        </w:rPr>
        <w:fldChar w:fldCharType="end"/>
      </w:r>
      <w:r w:rsidR="00767F79" w:rsidRPr="00870D9A">
        <w:rPr>
          <w:lang w:val="fr-FR"/>
        </w:rPr>
        <w:t>-</w:t>
      </w:r>
      <w:r w:rsidR="00526F39" w:rsidRPr="00870D9A">
        <w:rPr>
          <w:lang w:val="fr-FR"/>
        </w:rPr>
        <w:fldChar w:fldCharType="begin"/>
      </w:r>
      <w:r w:rsidR="00526F39" w:rsidRPr="00870D9A">
        <w:rPr>
          <w:lang w:val="fr-FR"/>
        </w:rPr>
        <w:instrText xml:space="preserve"> REF JURISPRUDENCE_ETAT_DEBITEUR \h </w:instrText>
      </w:r>
      <w:r w:rsidR="00526F39" w:rsidRPr="00870D9A">
        <w:rPr>
          <w:lang w:val="fr-FR"/>
        </w:rPr>
      </w:r>
      <w:r w:rsidR="00526F39" w:rsidRPr="00870D9A">
        <w:rPr>
          <w:lang w:val="fr-FR"/>
        </w:rPr>
        <w:fldChar w:fldCharType="separate"/>
      </w:r>
      <w:r w:rsidR="00870D9A" w:rsidRPr="00870D9A">
        <w:rPr>
          <w:noProof/>
          <w:szCs w:val="24"/>
          <w:lang w:val="fr-FR" w:eastAsia="fr-FR"/>
        </w:rPr>
        <w:t>45</w:t>
      </w:r>
      <w:r w:rsidR="00526F39" w:rsidRPr="00870D9A">
        <w:rPr>
          <w:lang w:val="fr-FR"/>
        </w:rPr>
        <w:fldChar w:fldCharType="end"/>
      </w:r>
      <w:r w:rsidR="00526F39" w:rsidRPr="00870D9A">
        <w:rPr>
          <w:lang w:val="fr-FR"/>
        </w:rPr>
        <w:t xml:space="preserve"> ci</w:t>
      </w:r>
      <w:r w:rsidR="00BC7129" w:rsidRPr="00870D9A">
        <w:rPr>
          <w:lang w:val="fr-FR"/>
        </w:rPr>
        <w:noBreakHyphen/>
      </w:r>
      <w:r w:rsidR="00526F39" w:rsidRPr="00870D9A">
        <w:rPr>
          <w:lang w:val="fr-FR"/>
        </w:rPr>
        <w:t>dessus)</w:t>
      </w:r>
      <w:r w:rsidR="008C184B" w:rsidRPr="00870D9A">
        <w:rPr>
          <w:lang w:val="fr-FR"/>
        </w:rPr>
        <w:t>, la requérante n</w:t>
      </w:r>
      <w:r w:rsidR="00870D9A" w:rsidRPr="00870D9A">
        <w:rPr>
          <w:lang w:val="fr-FR"/>
        </w:rPr>
        <w:t>’</w:t>
      </w:r>
      <w:r w:rsidR="008C184B" w:rsidRPr="00870D9A">
        <w:rPr>
          <w:lang w:val="fr-FR"/>
        </w:rPr>
        <w:t xml:space="preserve">était </w:t>
      </w:r>
      <w:r w:rsidR="00EA4F1A" w:rsidRPr="00870D9A">
        <w:rPr>
          <w:lang w:val="fr-FR"/>
        </w:rPr>
        <w:t xml:space="preserve">pas </w:t>
      </w:r>
      <w:r w:rsidR="00526F39" w:rsidRPr="00870D9A">
        <w:rPr>
          <w:lang w:val="fr-FR"/>
        </w:rPr>
        <w:t>tenue d</w:t>
      </w:r>
      <w:r w:rsidR="00870D9A" w:rsidRPr="00870D9A">
        <w:rPr>
          <w:lang w:val="fr-FR"/>
        </w:rPr>
        <w:t>’</w:t>
      </w:r>
      <w:r w:rsidR="008C184B" w:rsidRPr="00870D9A">
        <w:rPr>
          <w:lang w:val="fr-FR"/>
        </w:rPr>
        <w:t>engager une quelconque procédure d</w:t>
      </w:r>
      <w:r w:rsidR="00870D9A" w:rsidRPr="00870D9A">
        <w:rPr>
          <w:lang w:val="fr-FR"/>
        </w:rPr>
        <w:t>’</w:t>
      </w:r>
      <w:r w:rsidR="008C184B" w:rsidRPr="00870D9A">
        <w:rPr>
          <w:lang w:val="fr-FR"/>
        </w:rPr>
        <w:t>exécution</w:t>
      </w:r>
      <w:r w:rsidR="00DB3B78" w:rsidRPr="00870D9A">
        <w:rPr>
          <w:lang w:val="fr-FR"/>
        </w:rPr>
        <w:t>, s</w:t>
      </w:r>
      <w:r w:rsidR="00870D9A" w:rsidRPr="00870D9A">
        <w:rPr>
          <w:lang w:val="fr-FR"/>
        </w:rPr>
        <w:t>’</w:t>
      </w:r>
      <w:r w:rsidR="00DB3B78" w:rsidRPr="00870D9A">
        <w:rPr>
          <w:lang w:val="fr-FR"/>
        </w:rPr>
        <w:t>agissant en l</w:t>
      </w:r>
      <w:r w:rsidR="00870D9A" w:rsidRPr="00870D9A">
        <w:rPr>
          <w:lang w:val="fr-FR"/>
        </w:rPr>
        <w:t>’</w:t>
      </w:r>
      <w:r w:rsidR="00DB3B78" w:rsidRPr="00870D9A">
        <w:rPr>
          <w:lang w:val="fr-FR"/>
        </w:rPr>
        <w:t xml:space="preserve">espèce </w:t>
      </w:r>
      <w:r w:rsidR="00684A9E" w:rsidRPr="00870D9A">
        <w:rPr>
          <w:lang w:val="fr-FR"/>
        </w:rPr>
        <w:t>d</w:t>
      </w:r>
      <w:r w:rsidR="00870D9A" w:rsidRPr="00870D9A">
        <w:rPr>
          <w:lang w:val="fr-FR"/>
        </w:rPr>
        <w:t>’</w:t>
      </w:r>
      <w:r w:rsidR="00684A9E" w:rsidRPr="00870D9A">
        <w:rPr>
          <w:lang w:val="fr-FR"/>
        </w:rPr>
        <w:t>un jugement obtenu contre l</w:t>
      </w:r>
      <w:r w:rsidR="00870D9A" w:rsidRPr="00870D9A">
        <w:rPr>
          <w:lang w:val="fr-FR"/>
        </w:rPr>
        <w:t>’</w:t>
      </w:r>
      <w:r w:rsidR="00684A9E" w:rsidRPr="00870D9A">
        <w:rPr>
          <w:lang w:val="fr-FR"/>
        </w:rPr>
        <w:t>État</w:t>
      </w:r>
      <w:r w:rsidR="00DE6C64" w:rsidRPr="00870D9A">
        <w:rPr>
          <w:lang w:val="fr-FR"/>
        </w:rPr>
        <w:t>.</w:t>
      </w:r>
      <w:r w:rsidR="00EA4F1A" w:rsidRPr="00870D9A">
        <w:rPr>
          <w:lang w:val="fr-FR"/>
        </w:rPr>
        <w:t xml:space="preserve"> </w:t>
      </w:r>
      <w:r w:rsidR="007E67F1" w:rsidRPr="00870D9A">
        <w:rPr>
          <w:lang w:val="fr-FR"/>
        </w:rPr>
        <w:t>La Cour note de surcroit que l</w:t>
      </w:r>
      <w:r w:rsidR="00870D9A" w:rsidRPr="00870D9A">
        <w:rPr>
          <w:lang w:val="fr-FR"/>
        </w:rPr>
        <w:t>’</w:t>
      </w:r>
      <w:r w:rsidR="007E67F1" w:rsidRPr="00870D9A">
        <w:rPr>
          <w:lang w:val="fr-FR"/>
        </w:rPr>
        <w:t>exécution de ce jugement ne comportait</w:t>
      </w:r>
      <w:r w:rsidR="00526F39" w:rsidRPr="00870D9A">
        <w:rPr>
          <w:lang w:val="fr-FR"/>
        </w:rPr>
        <w:t xml:space="preserve"> aucune difficulté particulière en sus du simple</w:t>
      </w:r>
      <w:r w:rsidR="007E67F1" w:rsidRPr="00870D9A">
        <w:rPr>
          <w:lang w:val="fr-FR"/>
        </w:rPr>
        <w:t xml:space="preserve"> versement d</w:t>
      </w:r>
      <w:r w:rsidR="00870D9A" w:rsidRPr="00870D9A">
        <w:rPr>
          <w:lang w:val="fr-FR"/>
        </w:rPr>
        <w:t>’</w:t>
      </w:r>
      <w:r w:rsidR="007E67F1" w:rsidRPr="00870D9A">
        <w:rPr>
          <w:lang w:val="fr-FR"/>
        </w:rPr>
        <w:t>une somme d</w:t>
      </w:r>
      <w:r w:rsidR="00870D9A" w:rsidRPr="00870D9A">
        <w:rPr>
          <w:lang w:val="fr-FR"/>
        </w:rPr>
        <w:t>’</w:t>
      </w:r>
      <w:r w:rsidR="007E67F1" w:rsidRPr="00870D9A">
        <w:rPr>
          <w:lang w:val="fr-FR"/>
        </w:rPr>
        <w:t>argent.</w:t>
      </w:r>
    </w:p>
    <w:p w:rsidR="00AE4277" w:rsidRPr="00870D9A" w:rsidRDefault="00B6223D"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51</w:t>
      </w:r>
      <w:r w:rsidRPr="00870D9A">
        <w:rPr>
          <w:lang w:val="fr-FR"/>
        </w:rPr>
        <w:fldChar w:fldCharType="end"/>
      </w:r>
      <w:r w:rsidRPr="00870D9A">
        <w:rPr>
          <w:lang w:val="fr-FR"/>
        </w:rPr>
        <w:t>.  </w:t>
      </w:r>
      <w:r w:rsidR="00823E89" w:rsidRPr="00870D9A">
        <w:rPr>
          <w:lang w:val="fr-FR"/>
        </w:rPr>
        <w:t>E</w:t>
      </w:r>
      <w:r w:rsidR="00EA4F1A" w:rsidRPr="00870D9A">
        <w:rPr>
          <w:lang w:val="fr-FR"/>
        </w:rPr>
        <w:t>n l</w:t>
      </w:r>
      <w:r w:rsidR="00870D9A" w:rsidRPr="00870D9A">
        <w:rPr>
          <w:lang w:val="fr-FR"/>
        </w:rPr>
        <w:t>’</w:t>
      </w:r>
      <w:r w:rsidR="00EA4F1A" w:rsidRPr="00870D9A">
        <w:rPr>
          <w:lang w:val="fr-FR"/>
        </w:rPr>
        <w:t xml:space="preserve">absence de </w:t>
      </w:r>
      <w:r w:rsidR="007E7B93" w:rsidRPr="00870D9A">
        <w:rPr>
          <w:lang w:val="fr-FR"/>
        </w:rPr>
        <w:t>paiement</w:t>
      </w:r>
      <w:r w:rsidR="00D00CB8" w:rsidRPr="00870D9A">
        <w:rPr>
          <w:lang w:val="fr-FR"/>
        </w:rPr>
        <w:t xml:space="preserve"> spontané par l</w:t>
      </w:r>
      <w:r w:rsidR="00870D9A" w:rsidRPr="00870D9A">
        <w:rPr>
          <w:lang w:val="fr-FR"/>
        </w:rPr>
        <w:t>’</w:t>
      </w:r>
      <w:r w:rsidR="00D00CB8" w:rsidRPr="00870D9A">
        <w:rPr>
          <w:lang w:val="fr-FR"/>
        </w:rPr>
        <w:t>Administration, la requérante saisi</w:t>
      </w:r>
      <w:r w:rsidR="00526F39" w:rsidRPr="00870D9A">
        <w:rPr>
          <w:lang w:val="fr-FR"/>
        </w:rPr>
        <w:t>t</w:t>
      </w:r>
      <w:r w:rsidR="00D00CB8" w:rsidRPr="00870D9A">
        <w:rPr>
          <w:lang w:val="fr-FR"/>
        </w:rPr>
        <w:t xml:space="preserve"> le juge de l</w:t>
      </w:r>
      <w:r w:rsidR="00870D9A" w:rsidRPr="00870D9A">
        <w:rPr>
          <w:lang w:val="fr-FR"/>
        </w:rPr>
        <w:t>’</w:t>
      </w:r>
      <w:r w:rsidR="00526F39" w:rsidRPr="00870D9A">
        <w:rPr>
          <w:lang w:val="fr-FR"/>
        </w:rPr>
        <w:t>exécution de Naples lequel,</w:t>
      </w:r>
      <w:r w:rsidR="00D00CB8" w:rsidRPr="00870D9A">
        <w:rPr>
          <w:lang w:val="fr-FR"/>
        </w:rPr>
        <w:t xml:space="preserve"> </w:t>
      </w:r>
      <w:r w:rsidR="00526F39" w:rsidRPr="00870D9A">
        <w:rPr>
          <w:lang w:val="fr-FR"/>
        </w:rPr>
        <w:t>l</w:t>
      </w:r>
      <w:r w:rsidR="00D00CB8" w:rsidRPr="00870D9A">
        <w:rPr>
          <w:lang w:val="fr-FR"/>
        </w:rPr>
        <w:t>e 2</w:t>
      </w:r>
      <w:r w:rsidR="00C1792D" w:rsidRPr="00870D9A">
        <w:rPr>
          <w:lang w:val="fr-FR"/>
        </w:rPr>
        <w:t>5</w:t>
      </w:r>
      <w:r w:rsidR="00D00CB8" w:rsidRPr="00870D9A">
        <w:rPr>
          <w:lang w:val="fr-FR"/>
        </w:rPr>
        <w:t xml:space="preserve"> janvier 2005, rend</w:t>
      </w:r>
      <w:r w:rsidR="00526F39" w:rsidRPr="00870D9A">
        <w:rPr>
          <w:lang w:val="fr-FR"/>
        </w:rPr>
        <w:t>it</w:t>
      </w:r>
      <w:r w:rsidR="00D00CB8" w:rsidRPr="00870D9A">
        <w:rPr>
          <w:lang w:val="fr-FR"/>
        </w:rPr>
        <w:t xml:space="preserve"> une saisie-a</w:t>
      </w:r>
      <w:r w:rsidR="00615003" w:rsidRPr="00870D9A">
        <w:rPr>
          <w:lang w:val="fr-FR"/>
        </w:rPr>
        <w:t>ttribution</w:t>
      </w:r>
      <w:r w:rsidR="00D00CB8" w:rsidRPr="00870D9A">
        <w:rPr>
          <w:lang w:val="fr-FR"/>
        </w:rPr>
        <w:t xml:space="preserve"> en </w:t>
      </w:r>
      <w:r w:rsidR="005205F7" w:rsidRPr="00870D9A">
        <w:rPr>
          <w:lang w:val="fr-FR"/>
        </w:rPr>
        <w:t xml:space="preserve">sa </w:t>
      </w:r>
      <w:r w:rsidR="00D00CB8" w:rsidRPr="00870D9A">
        <w:rPr>
          <w:lang w:val="fr-FR"/>
        </w:rPr>
        <w:t xml:space="preserve">faveur (paragraphe </w:t>
      </w:r>
      <w:r w:rsidR="00D00CB8" w:rsidRPr="00870D9A">
        <w:rPr>
          <w:lang w:val="fr-FR"/>
        </w:rPr>
        <w:fldChar w:fldCharType="begin"/>
      </w:r>
      <w:r w:rsidR="00D00CB8" w:rsidRPr="00870D9A">
        <w:rPr>
          <w:lang w:val="fr-FR"/>
        </w:rPr>
        <w:instrText xml:space="preserve"> REF SAISIE_ARRET \h </w:instrText>
      </w:r>
      <w:r w:rsidR="00D00CB8" w:rsidRPr="00870D9A">
        <w:rPr>
          <w:lang w:val="fr-FR"/>
        </w:rPr>
      </w:r>
      <w:r w:rsidR="00D00CB8" w:rsidRPr="00870D9A">
        <w:rPr>
          <w:lang w:val="fr-FR"/>
        </w:rPr>
        <w:fldChar w:fldCharType="separate"/>
      </w:r>
      <w:r w:rsidR="00870D9A" w:rsidRPr="00870D9A">
        <w:rPr>
          <w:noProof/>
          <w:lang w:val="fr-FR"/>
        </w:rPr>
        <w:t>13</w:t>
      </w:r>
      <w:r w:rsidR="00D00CB8" w:rsidRPr="00870D9A">
        <w:rPr>
          <w:lang w:val="fr-FR"/>
        </w:rPr>
        <w:fldChar w:fldCharType="end"/>
      </w:r>
      <w:r w:rsidR="00D00CB8" w:rsidRPr="00870D9A">
        <w:rPr>
          <w:lang w:val="fr-FR"/>
        </w:rPr>
        <w:t xml:space="preserve"> ci-dessus).</w:t>
      </w:r>
    </w:p>
    <w:p w:rsidR="00A82AED" w:rsidRPr="00870D9A" w:rsidRDefault="006B4C09"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52</w:t>
      </w:r>
      <w:r w:rsidRPr="00870D9A">
        <w:rPr>
          <w:lang w:val="fr-FR"/>
        </w:rPr>
        <w:fldChar w:fldCharType="end"/>
      </w:r>
      <w:r w:rsidR="00FE6300" w:rsidRPr="00870D9A">
        <w:rPr>
          <w:lang w:val="fr-FR"/>
        </w:rPr>
        <w:t>.  </w:t>
      </w:r>
      <w:r w:rsidR="007E67F1" w:rsidRPr="00870D9A">
        <w:rPr>
          <w:lang w:val="fr-FR"/>
        </w:rPr>
        <w:t>Dès lors, le droit revendiqué par la requérante a trouv</w:t>
      </w:r>
      <w:r w:rsidR="005205F7" w:rsidRPr="00870D9A">
        <w:rPr>
          <w:lang w:val="fr-FR"/>
        </w:rPr>
        <w:t>é</w:t>
      </w:r>
      <w:r w:rsidR="007E67F1" w:rsidRPr="00870D9A">
        <w:rPr>
          <w:lang w:val="fr-FR"/>
        </w:rPr>
        <w:t xml:space="preserve"> sa réalisation effective</w:t>
      </w:r>
      <w:r w:rsidR="005205F7" w:rsidRPr="00870D9A">
        <w:rPr>
          <w:lang w:val="fr-FR"/>
        </w:rPr>
        <w:t xml:space="preserve"> à cette dernière date,</w:t>
      </w:r>
      <w:r w:rsidR="00DB3B78" w:rsidRPr="00870D9A">
        <w:rPr>
          <w:lang w:val="fr-FR"/>
        </w:rPr>
        <w:t xml:space="preserve"> la saisie-attribution </w:t>
      </w:r>
      <w:r w:rsidR="008011A7" w:rsidRPr="00870D9A">
        <w:rPr>
          <w:lang w:val="fr-FR"/>
        </w:rPr>
        <w:t xml:space="preserve">étant donc </w:t>
      </w:r>
      <w:r w:rsidR="00DB3B78" w:rsidRPr="00870D9A">
        <w:rPr>
          <w:lang w:val="fr-FR"/>
        </w:rPr>
        <w:t xml:space="preserve">la « décision interne définitive » </w:t>
      </w:r>
      <w:r w:rsidR="00522EC3" w:rsidRPr="00870D9A">
        <w:rPr>
          <w:lang w:val="fr-FR"/>
        </w:rPr>
        <w:t xml:space="preserve">de la procédure principale </w:t>
      </w:r>
      <w:r w:rsidR="00DB3B78" w:rsidRPr="00870D9A">
        <w:rPr>
          <w:lang w:val="fr-FR"/>
        </w:rPr>
        <w:t>dans la présente affaire</w:t>
      </w:r>
      <w:r w:rsidR="002D1806" w:rsidRPr="00870D9A">
        <w:rPr>
          <w:lang w:val="fr-FR"/>
        </w:rPr>
        <w:t xml:space="preserve"> (voir, parmi d</w:t>
      </w:r>
      <w:r w:rsidR="00870D9A" w:rsidRPr="00870D9A">
        <w:rPr>
          <w:lang w:val="fr-FR"/>
        </w:rPr>
        <w:t>’</w:t>
      </w:r>
      <w:r w:rsidR="002D1806" w:rsidRPr="00870D9A">
        <w:rPr>
          <w:lang w:val="fr-FR"/>
        </w:rPr>
        <w:t xml:space="preserve">autres, </w:t>
      </w:r>
      <w:proofErr w:type="spellStart"/>
      <w:r w:rsidR="002D1806" w:rsidRPr="00870D9A">
        <w:rPr>
          <w:i/>
          <w:lang w:val="fr-FR"/>
        </w:rPr>
        <w:t>Bourdov</w:t>
      </w:r>
      <w:proofErr w:type="spellEnd"/>
      <w:r w:rsidR="002D1806" w:rsidRPr="00870D9A">
        <w:rPr>
          <w:i/>
          <w:lang w:val="fr-FR"/>
        </w:rPr>
        <w:t xml:space="preserve"> (n</w:t>
      </w:r>
      <w:r w:rsidR="002D1806" w:rsidRPr="00870D9A">
        <w:rPr>
          <w:i/>
          <w:vertAlign w:val="superscript"/>
          <w:lang w:val="fr-FR"/>
        </w:rPr>
        <w:t>o</w:t>
      </w:r>
      <w:r w:rsidR="002D1806" w:rsidRPr="00870D9A">
        <w:rPr>
          <w:i/>
          <w:lang w:val="fr-FR"/>
        </w:rPr>
        <w:t xml:space="preserve"> 2)</w:t>
      </w:r>
      <w:r w:rsidR="002D1806" w:rsidRPr="00870D9A">
        <w:rPr>
          <w:lang w:val="fr-FR"/>
        </w:rPr>
        <w:t>, précité, § 72)</w:t>
      </w:r>
      <w:r w:rsidR="00DB3B78" w:rsidRPr="00870D9A">
        <w:rPr>
          <w:lang w:val="fr-FR"/>
        </w:rPr>
        <w:t>.</w:t>
      </w:r>
    </w:p>
    <w:p w:rsidR="005205F7" w:rsidRPr="00870D9A" w:rsidRDefault="005205F7"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53</w:t>
      </w:r>
      <w:r w:rsidRPr="00870D9A">
        <w:rPr>
          <w:lang w:val="fr-FR"/>
        </w:rPr>
        <w:fldChar w:fldCharType="end"/>
      </w:r>
      <w:r w:rsidRPr="00870D9A">
        <w:rPr>
          <w:lang w:val="fr-FR"/>
        </w:rPr>
        <w:t>.  Pa</w:t>
      </w:r>
      <w:r w:rsidR="00522EC3" w:rsidRPr="00870D9A">
        <w:rPr>
          <w:lang w:val="fr-FR"/>
        </w:rPr>
        <w:t>r</w:t>
      </w:r>
      <w:r w:rsidR="006F50AB" w:rsidRPr="00870D9A">
        <w:rPr>
          <w:lang w:val="fr-FR"/>
        </w:rPr>
        <w:t xml:space="preserve"> conséquent, la procédure</w:t>
      </w:r>
      <w:r w:rsidR="00F125AC" w:rsidRPr="00870D9A">
        <w:rPr>
          <w:lang w:val="fr-FR"/>
        </w:rPr>
        <w:t xml:space="preserve"> </w:t>
      </w:r>
      <w:r w:rsidRPr="00870D9A">
        <w:rPr>
          <w:lang w:val="fr-FR"/>
        </w:rPr>
        <w:t>s</w:t>
      </w:r>
      <w:r w:rsidR="00870D9A" w:rsidRPr="00870D9A">
        <w:rPr>
          <w:lang w:val="fr-FR"/>
        </w:rPr>
        <w:t>’</w:t>
      </w:r>
      <w:r w:rsidRPr="00870D9A">
        <w:rPr>
          <w:lang w:val="fr-FR"/>
        </w:rPr>
        <w:t>est déroulée entre le 21 octobre 1994 et le 27 mars 1998 et puis à partir du 10 mars 1999 pour se conclure le 25</w:t>
      </w:r>
      <w:r w:rsidR="00BC7129" w:rsidRPr="00870D9A">
        <w:rPr>
          <w:lang w:val="fr-FR"/>
        </w:rPr>
        <w:t> </w:t>
      </w:r>
      <w:r w:rsidRPr="00870D9A">
        <w:rPr>
          <w:lang w:val="fr-FR"/>
        </w:rPr>
        <w:t xml:space="preserve">janvier 2005 (paragraphes </w:t>
      </w:r>
      <w:r w:rsidRPr="00870D9A">
        <w:rPr>
          <w:lang w:val="fr-FR"/>
        </w:rPr>
        <w:fldChar w:fldCharType="begin"/>
      </w:r>
      <w:r w:rsidRPr="00870D9A">
        <w:rPr>
          <w:lang w:val="fr-FR"/>
        </w:rPr>
        <w:instrText xml:space="preserve"> REF PROCEDURE_PRINCIPALE \h </w:instrText>
      </w:r>
      <w:r w:rsidRPr="00870D9A">
        <w:rPr>
          <w:lang w:val="fr-FR"/>
        </w:rPr>
      </w:r>
      <w:r w:rsidRPr="00870D9A">
        <w:rPr>
          <w:lang w:val="fr-FR"/>
        </w:rPr>
        <w:fldChar w:fldCharType="separate"/>
      </w:r>
      <w:r w:rsidR="00870D9A" w:rsidRPr="00870D9A">
        <w:rPr>
          <w:noProof/>
          <w:lang w:val="fr-FR"/>
        </w:rPr>
        <w:t>8</w:t>
      </w:r>
      <w:r w:rsidRPr="00870D9A">
        <w:rPr>
          <w:lang w:val="fr-FR"/>
        </w:rPr>
        <w:fldChar w:fldCharType="end"/>
      </w:r>
      <w:r w:rsidRPr="00870D9A">
        <w:rPr>
          <w:lang w:val="fr-FR"/>
        </w:rPr>
        <w:t>-</w:t>
      </w:r>
      <w:r w:rsidRPr="00870D9A">
        <w:rPr>
          <w:lang w:val="fr-FR"/>
        </w:rPr>
        <w:fldChar w:fldCharType="begin"/>
      </w:r>
      <w:r w:rsidRPr="00870D9A">
        <w:rPr>
          <w:lang w:val="fr-FR"/>
        </w:rPr>
        <w:instrText xml:space="preserve"> REF SAISIE_ARRET \h </w:instrText>
      </w:r>
      <w:r w:rsidRPr="00870D9A">
        <w:rPr>
          <w:lang w:val="fr-FR"/>
        </w:rPr>
      </w:r>
      <w:r w:rsidRPr="00870D9A">
        <w:rPr>
          <w:lang w:val="fr-FR"/>
        </w:rPr>
        <w:fldChar w:fldCharType="separate"/>
      </w:r>
      <w:r w:rsidR="00870D9A" w:rsidRPr="00870D9A">
        <w:rPr>
          <w:noProof/>
          <w:lang w:val="fr-FR"/>
        </w:rPr>
        <w:t>13</w:t>
      </w:r>
      <w:r w:rsidRPr="00870D9A">
        <w:rPr>
          <w:lang w:val="fr-FR"/>
        </w:rPr>
        <w:fldChar w:fldCharType="end"/>
      </w:r>
      <w:r w:rsidRPr="00870D9A">
        <w:rPr>
          <w:lang w:val="fr-FR"/>
        </w:rPr>
        <w:t xml:space="preserve"> ci-dessus).</w:t>
      </w:r>
    </w:p>
    <w:p w:rsidR="00AE4277" w:rsidRPr="00870D9A" w:rsidRDefault="00DB3B78"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54</w:t>
      </w:r>
      <w:r w:rsidRPr="00870D9A">
        <w:rPr>
          <w:lang w:val="fr-FR"/>
        </w:rPr>
        <w:fldChar w:fldCharType="end"/>
      </w:r>
      <w:r w:rsidRPr="00870D9A">
        <w:rPr>
          <w:lang w:val="fr-FR"/>
        </w:rPr>
        <w:t>.  </w:t>
      </w:r>
      <w:r w:rsidR="00FC5E7C" w:rsidRPr="00870D9A">
        <w:rPr>
          <w:lang w:val="fr-FR"/>
        </w:rPr>
        <w:t>Au demeurant, l</w:t>
      </w:r>
      <w:r w:rsidR="004E380E" w:rsidRPr="00870D9A">
        <w:rPr>
          <w:lang w:val="fr-FR"/>
        </w:rPr>
        <w:t>a Cour note que l</w:t>
      </w:r>
      <w:r w:rsidR="00870D9A" w:rsidRPr="00870D9A">
        <w:rPr>
          <w:lang w:val="fr-FR"/>
        </w:rPr>
        <w:t>’</w:t>
      </w:r>
      <w:r w:rsidR="004E380E" w:rsidRPr="00870D9A">
        <w:rPr>
          <w:lang w:val="fr-FR"/>
        </w:rPr>
        <w:t>Assemblée plénière (</w:t>
      </w:r>
      <w:proofErr w:type="spellStart"/>
      <w:r w:rsidR="004E380E" w:rsidRPr="00870D9A">
        <w:rPr>
          <w:i/>
          <w:lang w:val="fr-FR"/>
        </w:rPr>
        <w:t>Sezioni</w:t>
      </w:r>
      <w:proofErr w:type="spellEnd"/>
      <w:r w:rsidR="004E380E" w:rsidRPr="00870D9A">
        <w:rPr>
          <w:i/>
          <w:lang w:val="fr-FR"/>
        </w:rPr>
        <w:t xml:space="preserve"> </w:t>
      </w:r>
      <w:proofErr w:type="spellStart"/>
      <w:r w:rsidR="004E380E" w:rsidRPr="00870D9A">
        <w:rPr>
          <w:i/>
          <w:lang w:val="fr-FR"/>
        </w:rPr>
        <w:t>Unite</w:t>
      </w:r>
      <w:proofErr w:type="spellEnd"/>
      <w:r w:rsidR="004E380E" w:rsidRPr="00870D9A">
        <w:rPr>
          <w:lang w:val="fr-FR"/>
        </w:rPr>
        <w:t>) de la Cour de cassation a opéré</w:t>
      </w:r>
      <w:r w:rsidR="00FC5E7C" w:rsidRPr="00870D9A">
        <w:rPr>
          <w:lang w:val="fr-FR"/>
        </w:rPr>
        <w:t xml:space="preserve"> en 2016</w:t>
      </w:r>
      <w:r w:rsidR="004E380E" w:rsidRPr="00870D9A">
        <w:rPr>
          <w:lang w:val="fr-FR"/>
        </w:rPr>
        <w:t xml:space="preserve"> un revirement de sa jurisprudence en la matière (paragraphes </w:t>
      </w:r>
      <w:r w:rsidR="004E380E" w:rsidRPr="00870D9A">
        <w:rPr>
          <w:lang w:val="fr-FR"/>
        </w:rPr>
        <w:fldChar w:fldCharType="begin"/>
      </w:r>
      <w:r w:rsidR="004E380E" w:rsidRPr="00870D9A">
        <w:rPr>
          <w:lang w:val="fr-FR"/>
        </w:rPr>
        <w:instrText xml:space="preserve"> REF REVIREMENT_JURISPRUDENCE \h </w:instrText>
      </w:r>
      <w:r w:rsidR="004E380E" w:rsidRPr="00870D9A">
        <w:rPr>
          <w:lang w:val="fr-FR"/>
        </w:rPr>
      </w:r>
      <w:r w:rsidR="004E380E" w:rsidRPr="00870D9A">
        <w:rPr>
          <w:lang w:val="fr-FR"/>
        </w:rPr>
        <w:fldChar w:fldCharType="separate"/>
      </w:r>
      <w:r w:rsidR="00870D9A" w:rsidRPr="00870D9A">
        <w:rPr>
          <w:noProof/>
          <w:lang w:val="fr-FR"/>
        </w:rPr>
        <w:t>23</w:t>
      </w:r>
      <w:r w:rsidR="004E380E" w:rsidRPr="00870D9A">
        <w:rPr>
          <w:lang w:val="fr-FR"/>
        </w:rPr>
        <w:fldChar w:fldCharType="end"/>
      </w:r>
      <w:r w:rsidR="004E380E" w:rsidRPr="00870D9A">
        <w:rPr>
          <w:lang w:val="fr-FR"/>
        </w:rPr>
        <w:t>-</w:t>
      </w:r>
      <w:r w:rsidR="004E380E" w:rsidRPr="00870D9A">
        <w:rPr>
          <w:lang w:val="fr-FR"/>
        </w:rPr>
        <w:fldChar w:fldCharType="begin"/>
      </w:r>
      <w:r w:rsidR="004E380E" w:rsidRPr="00870D9A">
        <w:rPr>
          <w:lang w:val="fr-FR"/>
        </w:rPr>
        <w:instrText xml:space="preserve"> REF REVIREMENT_JURISPRUDENCE_2016 \h </w:instrText>
      </w:r>
      <w:r w:rsidR="004E380E" w:rsidRPr="00870D9A">
        <w:rPr>
          <w:lang w:val="fr-FR"/>
        </w:rPr>
      </w:r>
      <w:r w:rsidR="004E380E" w:rsidRPr="00870D9A">
        <w:rPr>
          <w:lang w:val="fr-FR"/>
        </w:rPr>
        <w:fldChar w:fldCharType="separate"/>
      </w:r>
      <w:r w:rsidR="00870D9A" w:rsidRPr="00870D9A">
        <w:rPr>
          <w:noProof/>
          <w:lang w:val="fr-FR"/>
        </w:rPr>
        <w:t>24</w:t>
      </w:r>
      <w:r w:rsidR="004E380E" w:rsidRPr="00870D9A">
        <w:rPr>
          <w:lang w:val="fr-FR"/>
        </w:rPr>
        <w:fldChar w:fldCharType="end"/>
      </w:r>
      <w:r w:rsidR="004E380E" w:rsidRPr="00870D9A">
        <w:rPr>
          <w:lang w:val="fr-FR"/>
        </w:rPr>
        <w:t xml:space="preserve"> ci-dessus).</w:t>
      </w:r>
      <w:r w:rsidR="00306B81" w:rsidRPr="00870D9A">
        <w:rPr>
          <w:lang w:val="fr-FR"/>
        </w:rPr>
        <w:t xml:space="preserve"> </w:t>
      </w:r>
      <w:r w:rsidR="002A1C9A" w:rsidRPr="00870D9A">
        <w:rPr>
          <w:lang w:val="fr-FR"/>
        </w:rPr>
        <w:t>En particulier, comme l</w:t>
      </w:r>
      <w:r w:rsidR="00870D9A" w:rsidRPr="00870D9A">
        <w:rPr>
          <w:lang w:val="fr-FR"/>
        </w:rPr>
        <w:t>’</w:t>
      </w:r>
      <w:r w:rsidR="002A1C9A" w:rsidRPr="00870D9A">
        <w:rPr>
          <w:lang w:val="fr-FR"/>
        </w:rPr>
        <w:t>a remarqué le Gouvernement défendeur dans ses observations (paragraphe</w:t>
      </w:r>
      <w:r w:rsidR="008F4B2B" w:rsidRPr="00870D9A">
        <w:rPr>
          <w:lang w:val="fr-FR"/>
        </w:rPr>
        <w:t xml:space="preserve"> </w:t>
      </w:r>
      <w:r w:rsidR="008F4B2B" w:rsidRPr="00870D9A">
        <w:rPr>
          <w:lang w:val="fr-FR"/>
        </w:rPr>
        <w:fldChar w:fldCharType="begin"/>
      </w:r>
      <w:r w:rsidR="008F4B2B" w:rsidRPr="00870D9A">
        <w:rPr>
          <w:lang w:val="fr-FR"/>
        </w:rPr>
        <w:instrText xml:space="preserve"> REF OBS_GVT_REVIREMENT_CASSATION \h </w:instrText>
      </w:r>
      <w:r w:rsidR="008F4B2B" w:rsidRPr="00870D9A">
        <w:rPr>
          <w:lang w:val="fr-FR"/>
        </w:rPr>
      </w:r>
      <w:r w:rsidR="008F4B2B" w:rsidRPr="00870D9A">
        <w:rPr>
          <w:lang w:val="fr-FR"/>
        </w:rPr>
        <w:fldChar w:fldCharType="separate"/>
      </w:r>
      <w:r w:rsidR="00870D9A" w:rsidRPr="00870D9A">
        <w:rPr>
          <w:noProof/>
          <w:lang w:val="fr-FR"/>
        </w:rPr>
        <w:t>37</w:t>
      </w:r>
      <w:r w:rsidR="008F4B2B" w:rsidRPr="00870D9A">
        <w:rPr>
          <w:lang w:val="fr-FR"/>
        </w:rPr>
        <w:fldChar w:fldCharType="end"/>
      </w:r>
      <w:r w:rsidR="002A1C9A" w:rsidRPr="00870D9A">
        <w:rPr>
          <w:lang w:val="fr-FR"/>
        </w:rPr>
        <w:t xml:space="preserve"> </w:t>
      </w:r>
      <w:r w:rsidR="00782A3C" w:rsidRPr="00870D9A">
        <w:rPr>
          <w:lang w:val="fr-FR"/>
        </w:rPr>
        <w:t>ci-dessus)</w:t>
      </w:r>
      <w:r w:rsidR="002A1C9A" w:rsidRPr="00870D9A">
        <w:rPr>
          <w:lang w:val="fr-FR"/>
        </w:rPr>
        <w:t>, les faits à l</w:t>
      </w:r>
      <w:r w:rsidR="00870D9A" w:rsidRPr="00870D9A">
        <w:rPr>
          <w:lang w:val="fr-FR"/>
        </w:rPr>
        <w:t>’</w:t>
      </w:r>
      <w:r w:rsidR="002A1C9A" w:rsidRPr="00870D9A">
        <w:rPr>
          <w:lang w:val="fr-FR"/>
        </w:rPr>
        <w:t>origine de l</w:t>
      </w:r>
      <w:r w:rsidR="00870D9A" w:rsidRPr="00870D9A">
        <w:rPr>
          <w:lang w:val="fr-FR"/>
        </w:rPr>
        <w:t>’</w:t>
      </w:r>
      <w:r w:rsidR="002A1C9A" w:rsidRPr="00870D9A">
        <w:rPr>
          <w:lang w:val="fr-FR"/>
        </w:rPr>
        <w:t>arr</w:t>
      </w:r>
      <w:r w:rsidR="00782A3C" w:rsidRPr="00870D9A">
        <w:rPr>
          <w:lang w:val="fr-FR"/>
        </w:rPr>
        <w:t>êt n</w:t>
      </w:r>
      <w:r w:rsidR="00AE4277" w:rsidRPr="00870D9A">
        <w:rPr>
          <w:vertAlign w:val="superscript"/>
          <w:lang w:val="fr-FR"/>
        </w:rPr>
        <w:t>o</w:t>
      </w:r>
      <w:r w:rsidR="00782A3C" w:rsidRPr="00870D9A">
        <w:rPr>
          <w:lang w:val="fr-FR"/>
        </w:rPr>
        <w:t> </w:t>
      </w:r>
      <w:r w:rsidR="002A1C9A" w:rsidRPr="00870D9A">
        <w:rPr>
          <w:lang w:val="fr-FR"/>
        </w:rPr>
        <w:t>9142/2016 sont similaires aux faits litigieux.</w:t>
      </w:r>
    </w:p>
    <w:p w:rsidR="004E380E" w:rsidRPr="00870D9A" w:rsidRDefault="00782A3C"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55</w:t>
      </w:r>
      <w:r w:rsidRPr="00870D9A">
        <w:rPr>
          <w:lang w:val="fr-FR"/>
        </w:rPr>
        <w:fldChar w:fldCharType="end"/>
      </w:r>
      <w:r w:rsidRPr="00870D9A">
        <w:rPr>
          <w:lang w:val="fr-FR"/>
        </w:rPr>
        <w:t>.  </w:t>
      </w:r>
      <w:r w:rsidR="00B34273" w:rsidRPr="00870D9A">
        <w:rPr>
          <w:lang w:val="fr-FR"/>
        </w:rPr>
        <w:t xml:space="preserve">La Cour </w:t>
      </w:r>
      <w:r w:rsidR="006F50AB" w:rsidRPr="00870D9A">
        <w:rPr>
          <w:lang w:val="fr-FR"/>
        </w:rPr>
        <w:t>observe</w:t>
      </w:r>
      <w:r w:rsidR="00B34273" w:rsidRPr="00870D9A">
        <w:rPr>
          <w:lang w:val="fr-FR"/>
        </w:rPr>
        <w:t xml:space="preserve"> que, b</w:t>
      </w:r>
      <w:r w:rsidR="004E380E" w:rsidRPr="00870D9A">
        <w:rPr>
          <w:lang w:val="fr-FR"/>
        </w:rPr>
        <w:t>ien qu</w:t>
      </w:r>
      <w:r w:rsidR="00870D9A" w:rsidRPr="00870D9A">
        <w:rPr>
          <w:lang w:val="fr-FR"/>
        </w:rPr>
        <w:t>’</w:t>
      </w:r>
      <w:r w:rsidR="00B34273" w:rsidRPr="00870D9A">
        <w:rPr>
          <w:lang w:val="fr-FR"/>
        </w:rPr>
        <w:t>il ne soit</w:t>
      </w:r>
      <w:r w:rsidR="004E380E" w:rsidRPr="00870D9A">
        <w:rPr>
          <w:lang w:val="fr-FR"/>
        </w:rPr>
        <w:t xml:space="preserve"> complètement aligné sur l</w:t>
      </w:r>
      <w:r w:rsidR="00306B81" w:rsidRPr="00870D9A">
        <w:rPr>
          <w:lang w:val="fr-FR"/>
        </w:rPr>
        <w:t xml:space="preserve">es principes fixés </w:t>
      </w:r>
      <w:r w:rsidR="008F4B2B" w:rsidRPr="00870D9A">
        <w:rPr>
          <w:lang w:val="fr-FR"/>
        </w:rPr>
        <w:t>dans sa jurisprudence</w:t>
      </w:r>
      <w:r w:rsidR="004E380E" w:rsidRPr="00870D9A">
        <w:rPr>
          <w:lang w:val="fr-FR"/>
        </w:rPr>
        <w:t xml:space="preserve"> (paragraphes -</w:t>
      </w:r>
      <w:r w:rsidR="004E380E" w:rsidRPr="00870D9A">
        <w:rPr>
          <w:lang w:val="fr-FR"/>
        </w:rPr>
        <w:fldChar w:fldCharType="begin"/>
      </w:r>
      <w:r w:rsidR="004E380E" w:rsidRPr="00870D9A">
        <w:rPr>
          <w:lang w:val="fr-FR"/>
        </w:rPr>
        <w:instrText xml:space="preserve"> REF JURISPRUDENCE_CEDH_EXECUTION_FIN \h </w:instrText>
      </w:r>
      <w:r w:rsidR="004E380E" w:rsidRPr="00870D9A">
        <w:rPr>
          <w:lang w:val="fr-FR"/>
        </w:rPr>
      </w:r>
      <w:r w:rsidR="004E380E" w:rsidRPr="00870D9A">
        <w:rPr>
          <w:lang w:val="fr-FR"/>
        </w:rPr>
        <w:fldChar w:fldCharType="separate"/>
      </w:r>
      <w:r w:rsidR="00870D9A" w:rsidRPr="00870D9A">
        <w:rPr>
          <w:noProof/>
          <w:szCs w:val="24"/>
          <w:lang w:val="fr-FR"/>
        </w:rPr>
        <w:t>48</w:t>
      </w:r>
      <w:r w:rsidR="004E380E" w:rsidRPr="00870D9A">
        <w:rPr>
          <w:lang w:val="fr-FR"/>
        </w:rPr>
        <w:fldChar w:fldCharType="end"/>
      </w:r>
      <w:r w:rsidR="004E380E" w:rsidRPr="00870D9A">
        <w:rPr>
          <w:lang w:val="fr-FR"/>
        </w:rPr>
        <w:t xml:space="preserve"> ci-dessus), </w:t>
      </w:r>
      <w:r w:rsidR="00B34273" w:rsidRPr="00870D9A">
        <w:rPr>
          <w:lang w:val="fr-FR"/>
        </w:rPr>
        <w:t>cet arrêt prête à</w:t>
      </w:r>
      <w:r w:rsidR="004E380E" w:rsidRPr="00870D9A">
        <w:rPr>
          <w:lang w:val="fr-FR"/>
        </w:rPr>
        <w:t xml:space="preserve"> une lecture globale </w:t>
      </w:r>
      <w:r w:rsidR="00B34273" w:rsidRPr="00870D9A">
        <w:rPr>
          <w:lang w:val="fr-FR"/>
        </w:rPr>
        <w:t>selon laquelle</w:t>
      </w:r>
      <w:r w:rsidR="004E380E" w:rsidRPr="00870D9A">
        <w:rPr>
          <w:lang w:val="fr-FR"/>
        </w:rPr>
        <w:t xml:space="preserve"> « il est possible de considérer la procédure comme étant un tout, aux fins d</w:t>
      </w:r>
      <w:r w:rsidR="00306B81" w:rsidRPr="00870D9A">
        <w:rPr>
          <w:lang w:val="fr-FR"/>
        </w:rPr>
        <w:t>u calcul de la durée (de la procédure</w:t>
      </w:r>
      <w:r w:rsidR="00E9615C" w:rsidRPr="00870D9A">
        <w:rPr>
          <w:lang w:val="fr-FR"/>
        </w:rPr>
        <w:t>)</w:t>
      </w:r>
      <w:r w:rsidR="00306B81" w:rsidRPr="00870D9A">
        <w:rPr>
          <w:lang w:val="fr-FR"/>
        </w:rPr>
        <w:t> ».</w:t>
      </w:r>
    </w:p>
    <w:p w:rsidR="00C45C91" w:rsidRPr="00870D9A" w:rsidRDefault="004C49E5"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56</w:t>
      </w:r>
      <w:r w:rsidRPr="00870D9A">
        <w:rPr>
          <w:lang w:val="fr-FR"/>
        </w:rPr>
        <w:fldChar w:fldCharType="end"/>
      </w:r>
      <w:r w:rsidRPr="00870D9A">
        <w:rPr>
          <w:lang w:val="fr-FR"/>
        </w:rPr>
        <w:t>.  </w:t>
      </w:r>
      <w:r w:rsidR="00306B81" w:rsidRPr="00870D9A">
        <w:rPr>
          <w:lang w:val="fr-FR"/>
        </w:rPr>
        <w:t>Cependant</w:t>
      </w:r>
      <w:r w:rsidRPr="00870D9A">
        <w:rPr>
          <w:lang w:val="fr-FR"/>
        </w:rPr>
        <w:t>, à l</w:t>
      </w:r>
      <w:r w:rsidR="00870D9A" w:rsidRPr="00870D9A">
        <w:rPr>
          <w:lang w:val="fr-FR"/>
        </w:rPr>
        <w:t>’</w:t>
      </w:r>
      <w:r w:rsidR="00306B81" w:rsidRPr="00870D9A">
        <w:rPr>
          <w:lang w:val="fr-FR"/>
        </w:rPr>
        <w:t>époque des faits litigieux, les tribunaux internes avaient une</w:t>
      </w:r>
      <w:r w:rsidRPr="00870D9A">
        <w:rPr>
          <w:lang w:val="fr-FR"/>
        </w:rPr>
        <w:t xml:space="preserve"> interprétation</w:t>
      </w:r>
      <w:r w:rsidR="00306B81" w:rsidRPr="00870D9A">
        <w:rPr>
          <w:lang w:val="fr-FR"/>
        </w:rPr>
        <w:t xml:space="preserve"> </w:t>
      </w:r>
      <w:r w:rsidR="00A82AED" w:rsidRPr="00870D9A">
        <w:rPr>
          <w:lang w:val="fr-FR"/>
        </w:rPr>
        <w:t>opposée</w:t>
      </w:r>
      <w:r w:rsidR="00306B81" w:rsidRPr="00870D9A">
        <w:rPr>
          <w:lang w:val="fr-FR"/>
        </w:rPr>
        <w:t xml:space="preserve"> </w:t>
      </w:r>
      <w:r w:rsidR="00661A6F" w:rsidRPr="00870D9A">
        <w:rPr>
          <w:lang w:val="fr-FR"/>
        </w:rPr>
        <w:t xml:space="preserve">en la matière </w:t>
      </w:r>
      <w:r w:rsidR="00306B81" w:rsidRPr="00870D9A">
        <w:rPr>
          <w:lang w:val="fr-FR"/>
        </w:rPr>
        <w:t xml:space="preserve">portant sur </w:t>
      </w:r>
      <w:r w:rsidR="00A82AED" w:rsidRPr="00870D9A">
        <w:rPr>
          <w:lang w:val="fr-FR"/>
        </w:rPr>
        <w:t>la</w:t>
      </w:r>
      <w:r w:rsidRPr="00870D9A">
        <w:rPr>
          <w:lang w:val="fr-FR"/>
        </w:rPr>
        <w:t xml:space="preserve"> séparation stricte </w:t>
      </w:r>
      <w:r w:rsidR="00E9615C" w:rsidRPr="00870D9A">
        <w:rPr>
          <w:lang w:val="fr-FR"/>
        </w:rPr>
        <w:t>de</w:t>
      </w:r>
      <w:r w:rsidRPr="00870D9A">
        <w:rPr>
          <w:lang w:val="fr-FR"/>
        </w:rPr>
        <w:t xml:space="preserve"> la p</w:t>
      </w:r>
      <w:r w:rsidR="00E9615C" w:rsidRPr="00870D9A">
        <w:rPr>
          <w:lang w:val="fr-FR"/>
        </w:rPr>
        <w:t>rocédure</w:t>
      </w:r>
      <w:r w:rsidRPr="00870D9A">
        <w:rPr>
          <w:lang w:val="fr-FR"/>
        </w:rPr>
        <w:t xml:space="preserve"> au fond et</w:t>
      </w:r>
      <w:r w:rsidR="00E9615C" w:rsidRPr="00870D9A">
        <w:rPr>
          <w:lang w:val="fr-FR"/>
        </w:rPr>
        <w:t xml:space="preserve"> de celle</w:t>
      </w:r>
      <w:r w:rsidRPr="00870D9A">
        <w:rPr>
          <w:lang w:val="fr-FR"/>
        </w:rPr>
        <w:t xml:space="preserve"> d</w:t>
      </w:r>
      <w:r w:rsidR="00870D9A" w:rsidRPr="00870D9A">
        <w:rPr>
          <w:lang w:val="fr-FR"/>
        </w:rPr>
        <w:t>’</w:t>
      </w:r>
      <w:r w:rsidRPr="00870D9A">
        <w:rPr>
          <w:lang w:val="fr-FR"/>
        </w:rPr>
        <w:t xml:space="preserve">exécution (paragraphe </w:t>
      </w:r>
      <w:r w:rsidRPr="00870D9A">
        <w:rPr>
          <w:lang w:val="fr-FR"/>
        </w:rPr>
        <w:fldChar w:fldCharType="begin"/>
      </w:r>
      <w:r w:rsidRPr="00870D9A">
        <w:rPr>
          <w:lang w:val="fr-FR"/>
        </w:rPr>
        <w:instrText xml:space="preserve"> REF JURISPRUDENCE_CASSATION_SEPARATION \h </w:instrText>
      </w:r>
      <w:r w:rsidRPr="00870D9A">
        <w:rPr>
          <w:lang w:val="fr-FR"/>
        </w:rPr>
      </w:r>
      <w:r w:rsidRPr="00870D9A">
        <w:rPr>
          <w:lang w:val="fr-FR"/>
        </w:rPr>
        <w:fldChar w:fldCharType="separate"/>
      </w:r>
      <w:r w:rsidR="00870D9A" w:rsidRPr="00870D9A">
        <w:rPr>
          <w:noProof/>
          <w:lang w:val="fr-FR"/>
        </w:rPr>
        <w:t>22</w:t>
      </w:r>
      <w:r w:rsidRPr="00870D9A">
        <w:rPr>
          <w:lang w:val="fr-FR"/>
        </w:rPr>
        <w:fldChar w:fldCharType="end"/>
      </w:r>
      <w:r w:rsidRPr="00870D9A">
        <w:rPr>
          <w:lang w:val="fr-FR"/>
        </w:rPr>
        <w:t xml:space="preserve"> ci</w:t>
      </w:r>
      <w:r w:rsidR="00BC7129" w:rsidRPr="00870D9A">
        <w:rPr>
          <w:lang w:val="fr-FR"/>
        </w:rPr>
        <w:noBreakHyphen/>
      </w:r>
      <w:r w:rsidRPr="00870D9A">
        <w:rPr>
          <w:lang w:val="fr-FR"/>
        </w:rPr>
        <w:t xml:space="preserve">dessus). </w:t>
      </w:r>
      <w:r w:rsidR="00306B81" w:rsidRPr="00870D9A">
        <w:rPr>
          <w:lang w:val="fr-FR"/>
        </w:rPr>
        <w:t>D</w:t>
      </w:r>
      <w:r w:rsidR="00870D9A" w:rsidRPr="00870D9A">
        <w:rPr>
          <w:lang w:val="fr-FR"/>
        </w:rPr>
        <w:t>’</w:t>
      </w:r>
      <w:r w:rsidR="00306B81" w:rsidRPr="00870D9A">
        <w:rPr>
          <w:lang w:val="fr-FR"/>
        </w:rPr>
        <w:t>ailleurs, c</w:t>
      </w:r>
      <w:r w:rsidR="00C45C91" w:rsidRPr="00870D9A">
        <w:rPr>
          <w:lang w:val="fr-FR"/>
        </w:rPr>
        <w:t xml:space="preserve">ette interprétation </w:t>
      </w:r>
      <w:r w:rsidR="00306B81" w:rsidRPr="00870D9A">
        <w:rPr>
          <w:lang w:val="fr-FR"/>
        </w:rPr>
        <w:t>se trouve confirmée dans les décisions rendues contre la requérante par</w:t>
      </w:r>
      <w:r w:rsidR="00C45C91" w:rsidRPr="00870D9A">
        <w:rPr>
          <w:lang w:val="fr-FR"/>
        </w:rPr>
        <w:t xml:space="preserve"> la cour d</w:t>
      </w:r>
      <w:r w:rsidR="00870D9A" w:rsidRPr="00870D9A">
        <w:rPr>
          <w:lang w:val="fr-FR"/>
        </w:rPr>
        <w:t>’</w:t>
      </w:r>
      <w:r w:rsidR="00C45C91" w:rsidRPr="00870D9A">
        <w:rPr>
          <w:lang w:val="fr-FR"/>
        </w:rPr>
        <w:t>appel de Rome du 18</w:t>
      </w:r>
      <w:proofErr w:type="gramStart"/>
      <w:r w:rsidR="00BC7129" w:rsidRPr="00870D9A">
        <w:rPr>
          <w:lang w:val="fr-FR"/>
        </w:rPr>
        <w:t> </w:t>
      </w:r>
      <w:r w:rsidR="00C45C91" w:rsidRPr="00870D9A">
        <w:rPr>
          <w:lang w:val="fr-FR"/>
        </w:rPr>
        <w:t xml:space="preserve"> mai</w:t>
      </w:r>
      <w:proofErr w:type="gramEnd"/>
      <w:r w:rsidR="00C45C91" w:rsidRPr="00870D9A">
        <w:rPr>
          <w:lang w:val="fr-FR"/>
        </w:rPr>
        <w:t xml:space="preserve"> 2006 et </w:t>
      </w:r>
      <w:r w:rsidR="00306B81" w:rsidRPr="00870D9A">
        <w:rPr>
          <w:lang w:val="fr-FR"/>
        </w:rPr>
        <w:t>par</w:t>
      </w:r>
      <w:r w:rsidR="00C45C91" w:rsidRPr="00870D9A">
        <w:rPr>
          <w:lang w:val="fr-FR"/>
        </w:rPr>
        <w:t xml:space="preserve"> la Cour de cassation du 25 septembre 2008.</w:t>
      </w:r>
    </w:p>
    <w:p w:rsidR="00537EC0" w:rsidRPr="00870D9A" w:rsidRDefault="00CA6D6C"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57</w:t>
      </w:r>
      <w:r w:rsidRPr="00870D9A">
        <w:rPr>
          <w:lang w:val="fr-FR"/>
        </w:rPr>
        <w:fldChar w:fldCharType="end"/>
      </w:r>
      <w:r w:rsidRPr="00870D9A">
        <w:rPr>
          <w:lang w:val="fr-FR"/>
        </w:rPr>
        <w:t>.  </w:t>
      </w:r>
      <w:proofErr w:type="gramStart"/>
      <w:r w:rsidR="00B34273" w:rsidRPr="00870D9A">
        <w:rPr>
          <w:lang w:val="fr-FR"/>
        </w:rPr>
        <w:t>En conclusion, l</w:t>
      </w:r>
      <w:r w:rsidR="00537EC0" w:rsidRPr="00870D9A">
        <w:rPr>
          <w:lang w:val="fr-FR"/>
        </w:rPr>
        <w:t xml:space="preserve">a Cour </w:t>
      </w:r>
      <w:r w:rsidR="00B34273" w:rsidRPr="00870D9A">
        <w:rPr>
          <w:lang w:val="fr-FR"/>
        </w:rPr>
        <w:t>rappelle avoir</w:t>
      </w:r>
      <w:r w:rsidR="00537EC0" w:rsidRPr="00870D9A">
        <w:rPr>
          <w:lang w:val="fr-FR"/>
        </w:rPr>
        <w:t xml:space="preserve"> </w:t>
      </w:r>
      <w:r w:rsidR="00BA6DA5" w:rsidRPr="00870D9A">
        <w:rPr>
          <w:lang w:val="fr-FR"/>
        </w:rPr>
        <w:t>traité à</w:t>
      </w:r>
      <w:r w:rsidR="00537EC0" w:rsidRPr="00870D9A">
        <w:rPr>
          <w:lang w:val="fr-FR"/>
        </w:rPr>
        <w:t xml:space="preserve"> maintes reprises</w:t>
      </w:r>
      <w:r w:rsidR="00BA6DA5" w:rsidRPr="00870D9A">
        <w:rPr>
          <w:lang w:val="fr-FR"/>
        </w:rPr>
        <w:t xml:space="preserve"> des requêtes soulevant des questions similaires en matière de</w:t>
      </w:r>
      <w:r w:rsidR="00537EC0" w:rsidRPr="00870D9A">
        <w:rPr>
          <w:lang w:val="fr-FR"/>
        </w:rPr>
        <w:t xml:space="preserve"> </w:t>
      </w:r>
      <w:r w:rsidR="00BA6DA5" w:rsidRPr="00870D9A">
        <w:rPr>
          <w:lang w:val="fr-FR"/>
        </w:rPr>
        <w:t xml:space="preserve">durée de la procédure et a constaté une </w:t>
      </w:r>
      <w:r w:rsidR="00537EC0" w:rsidRPr="00870D9A">
        <w:rPr>
          <w:lang w:val="fr-FR"/>
        </w:rPr>
        <w:t>méconnaissance de l</w:t>
      </w:r>
      <w:r w:rsidR="00870D9A" w:rsidRPr="00870D9A">
        <w:rPr>
          <w:lang w:val="fr-FR"/>
        </w:rPr>
        <w:t>’</w:t>
      </w:r>
      <w:r w:rsidR="00537EC0" w:rsidRPr="00870D9A">
        <w:rPr>
          <w:lang w:val="fr-FR"/>
        </w:rPr>
        <w:t xml:space="preserve">exigence du « délai raisonnable », </w:t>
      </w:r>
      <w:r w:rsidR="00BA6DA5" w:rsidRPr="00870D9A">
        <w:rPr>
          <w:lang w:val="fr-FR"/>
        </w:rPr>
        <w:t>en s</w:t>
      </w:r>
      <w:r w:rsidR="00870D9A" w:rsidRPr="00870D9A">
        <w:rPr>
          <w:lang w:val="fr-FR"/>
        </w:rPr>
        <w:t>’</w:t>
      </w:r>
      <w:r w:rsidR="00BA6DA5" w:rsidRPr="00870D9A">
        <w:rPr>
          <w:lang w:val="fr-FR"/>
        </w:rPr>
        <w:t>appuyant sur</w:t>
      </w:r>
      <w:r w:rsidR="00537EC0" w:rsidRPr="00870D9A">
        <w:rPr>
          <w:lang w:val="fr-FR"/>
        </w:rPr>
        <w:t xml:space="preserve"> des critères dégagés par sa jurisprudence bien établie en la matière (voir, </w:t>
      </w:r>
      <w:r w:rsidR="0057107B" w:rsidRPr="00870D9A">
        <w:rPr>
          <w:lang w:val="fr-FR"/>
        </w:rPr>
        <w:t>parmi beaucoup d</w:t>
      </w:r>
      <w:r w:rsidR="00870D9A" w:rsidRPr="00870D9A">
        <w:rPr>
          <w:lang w:val="fr-FR"/>
        </w:rPr>
        <w:t>’</w:t>
      </w:r>
      <w:r w:rsidR="0057107B" w:rsidRPr="00870D9A">
        <w:rPr>
          <w:lang w:val="fr-FR"/>
        </w:rPr>
        <w:t>autres précédents</w:t>
      </w:r>
      <w:r w:rsidR="00537EC0" w:rsidRPr="00870D9A">
        <w:rPr>
          <w:lang w:val="fr-FR"/>
        </w:rPr>
        <w:t xml:space="preserve">, </w:t>
      </w:r>
      <w:proofErr w:type="spellStart"/>
      <w:r w:rsidR="00537EC0" w:rsidRPr="00870D9A">
        <w:rPr>
          <w:i/>
          <w:lang w:val="fr-FR"/>
        </w:rPr>
        <w:lastRenderedPageBreak/>
        <w:t>Cocchiarella</w:t>
      </w:r>
      <w:proofErr w:type="spellEnd"/>
      <w:r w:rsidR="0057107B" w:rsidRPr="00870D9A">
        <w:rPr>
          <w:lang w:val="fr-FR"/>
        </w:rPr>
        <w:t>,</w:t>
      </w:r>
      <w:r w:rsidR="00537EC0" w:rsidRPr="00870D9A">
        <w:rPr>
          <w:lang w:val="fr-FR"/>
        </w:rPr>
        <w:t xml:space="preserve"> précité</w:t>
      </w:r>
      <w:r w:rsidR="005961B7" w:rsidRPr="00870D9A">
        <w:rPr>
          <w:lang w:val="fr-FR"/>
        </w:rPr>
        <w:t xml:space="preserve">, </w:t>
      </w:r>
      <w:r w:rsidR="008E2B75" w:rsidRPr="00870D9A">
        <w:rPr>
          <w:lang w:val="fr-FR"/>
        </w:rPr>
        <w:t xml:space="preserve">avec les </w:t>
      </w:r>
      <w:r w:rsidR="005961B7" w:rsidRPr="00870D9A">
        <w:rPr>
          <w:lang w:val="fr-FR"/>
        </w:rPr>
        <w:t>références</w:t>
      </w:r>
      <w:r w:rsidR="008E2B75" w:rsidRPr="00870D9A">
        <w:rPr>
          <w:lang w:val="fr-FR"/>
        </w:rPr>
        <w:t xml:space="preserve"> </w:t>
      </w:r>
      <w:r w:rsidR="00CD3B32" w:rsidRPr="00870D9A">
        <w:rPr>
          <w:lang w:val="fr-FR"/>
        </w:rPr>
        <w:t>à</w:t>
      </w:r>
      <w:r w:rsidR="005961B7" w:rsidRPr="00870D9A">
        <w:rPr>
          <w:lang w:val="fr-FR"/>
        </w:rPr>
        <w:t xml:space="preserve"> </w:t>
      </w:r>
      <w:proofErr w:type="spellStart"/>
      <w:r w:rsidR="005961B7" w:rsidRPr="00870D9A">
        <w:rPr>
          <w:i/>
          <w:lang w:val="fr-FR"/>
        </w:rPr>
        <w:t>Bottazzi</w:t>
      </w:r>
      <w:proofErr w:type="spellEnd"/>
      <w:r w:rsidR="005961B7" w:rsidRPr="00870D9A">
        <w:rPr>
          <w:i/>
          <w:lang w:val="fr-FR"/>
        </w:rPr>
        <w:t xml:space="preserve"> c. Italie </w:t>
      </w:r>
      <w:r w:rsidR="005961B7" w:rsidRPr="00870D9A">
        <w:rPr>
          <w:lang w:val="fr-FR"/>
        </w:rPr>
        <w:t>[GC], n</w:t>
      </w:r>
      <w:r w:rsidR="005961B7" w:rsidRPr="00870D9A">
        <w:rPr>
          <w:vertAlign w:val="superscript"/>
          <w:lang w:val="fr-FR"/>
        </w:rPr>
        <w:t>o</w:t>
      </w:r>
      <w:r w:rsidR="00615C68" w:rsidRPr="00870D9A">
        <w:rPr>
          <w:vertAlign w:val="superscript"/>
          <w:lang w:val="fr-FR"/>
        </w:rPr>
        <w:t> </w:t>
      </w:r>
      <w:r w:rsidR="005961B7" w:rsidRPr="00870D9A">
        <w:rPr>
          <w:lang w:val="fr-FR"/>
        </w:rPr>
        <w:t>34884/97,</w:t>
      </w:r>
      <w:r w:rsidR="00615C68" w:rsidRPr="00870D9A">
        <w:rPr>
          <w:lang w:val="fr-FR"/>
        </w:rPr>
        <w:t xml:space="preserve"> § 22,</w:t>
      </w:r>
      <w:r w:rsidR="005961B7" w:rsidRPr="00870D9A">
        <w:rPr>
          <w:lang w:val="fr-FR"/>
        </w:rPr>
        <w:t xml:space="preserve"> CEDH 1999</w:t>
      </w:r>
      <w:r w:rsidR="005961B7" w:rsidRPr="00870D9A">
        <w:rPr>
          <w:lang w:val="fr-FR"/>
        </w:rPr>
        <w:noBreakHyphen/>
        <w:t>V</w:t>
      </w:r>
      <w:r w:rsidR="00615C68" w:rsidRPr="00870D9A">
        <w:rPr>
          <w:lang w:val="fr-FR"/>
        </w:rPr>
        <w:t>,</w:t>
      </w:r>
      <w:r w:rsidR="005961B7" w:rsidRPr="00870D9A">
        <w:rPr>
          <w:lang w:val="fr-FR"/>
        </w:rPr>
        <w:t xml:space="preserve"> </w:t>
      </w:r>
      <w:r w:rsidR="00615C68" w:rsidRPr="00870D9A">
        <w:rPr>
          <w:i/>
          <w:lang w:val="fr-FR"/>
        </w:rPr>
        <w:t>Di Mauro c. Italie</w:t>
      </w:r>
      <w:r w:rsidR="00615C68" w:rsidRPr="00870D9A">
        <w:rPr>
          <w:lang w:val="fr-FR"/>
        </w:rPr>
        <w:t xml:space="preserve"> [GC], n</w:t>
      </w:r>
      <w:r w:rsidR="00615C68" w:rsidRPr="00870D9A">
        <w:rPr>
          <w:vertAlign w:val="superscript"/>
          <w:lang w:val="fr-FR"/>
        </w:rPr>
        <w:t>o</w:t>
      </w:r>
      <w:r w:rsidR="00615C68" w:rsidRPr="00870D9A">
        <w:rPr>
          <w:lang w:val="fr-FR"/>
        </w:rPr>
        <w:t xml:space="preserve"> 34256/96, §23, CEDH 1999</w:t>
      </w:r>
      <w:r w:rsidR="00615C68" w:rsidRPr="00870D9A">
        <w:rPr>
          <w:lang w:val="fr-FR"/>
        </w:rPr>
        <w:noBreakHyphen/>
        <w:t>V,</w:t>
      </w:r>
      <w:r w:rsidR="008E2B75" w:rsidRPr="00870D9A">
        <w:rPr>
          <w:lang w:val="fr-FR"/>
        </w:rPr>
        <w:t xml:space="preserve"> </w:t>
      </w:r>
      <w:r w:rsidR="00615C68" w:rsidRPr="00870D9A">
        <w:rPr>
          <w:i/>
          <w:lang w:val="fr-FR"/>
        </w:rPr>
        <w:t>Ferrari c. Italie</w:t>
      </w:r>
      <w:r w:rsidR="00615C68" w:rsidRPr="00870D9A">
        <w:rPr>
          <w:lang w:val="fr-FR"/>
        </w:rPr>
        <w:t xml:space="preserve"> [GC], n</w:t>
      </w:r>
      <w:r w:rsidR="00615C68" w:rsidRPr="00870D9A">
        <w:rPr>
          <w:vertAlign w:val="superscript"/>
          <w:lang w:val="fr-FR"/>
        </w:rPr>
        <w:t>o</w:t>
      </w:r>
      <w:r w:rsidR="00615C68" w:rsidRPr="00870D9A">
        <w:rPr>
          <w:lang w:val="fr-FR"/>
        </w:rPr>
        <w:t xml:space="preserve"> 33440/96, § 21, 28 juillet 1999</w:t>
      </w:r>
      <w:r w:rsidR="00767F79" w:rsidRPr="00870D9A">
        <w:rPr>
          <w:lang w:val="fr-FR"/>
        </w:rPr>
        <w:t xml:space="preserve"> et</w:t>
      </w:r>
      <w:r w:rsidR="00E7715D" w:rsidRPr="00870D9A">
        <w:rPr>
          <w:i/>
          <w:lang w:val="fr-FR"/>
        </w:rPr>
        <w:t xml:space="preserve"> A.P. c.</w:t>
      </w:r>
      <w:r w:rsidR="00767F79" w:rsidRPr="00870D9A">
        <w:rPr>
          <w:i/>
          <w:lang w:val="fr-FR"/>
        </w:rPr>
        <w:t> </w:t>
      </w:r>
      <w:r w:rsidR="00E7715D" w:rsidRPr="00870D9A">
        <w:rPr>
          <w:i/>
          <w:lang w:val="fr-FR"/>
        </w:rPr>
        <w:t>Italie</w:t>
      </w:r>
      <w:r w:rsidR="00E7715D" w:rsidRPr="00870D9A">
        <w:rPr>
          <w:lang w:val="fr-FR"/>
        </w:rPr>
        <w:t xml:space="preserve"> [GC], n</w:t>
      </w:r>
      <w:r w:rsidR="00E7715D" w:rsidRPr="00870D9A">
        <w:rPr>
          <w:vertAlign w:val="superscript"/>
          <w:lang w:val="fr-FR"/>
        </w:rPr>
        <w:t>o</w:t>
      </w:r>
      <w:r w:rsidR="00E7715D" w:rsidRPr="00870D9A">
        <w:rPr>
          <w:lang w:val="fr-FR"/>
        </w:rPr>
        <w:t xml:space="preserve"> 35265/97, § 18, 28 juillet 1999</w:t>
      </w:r>
      <w:r w:rsidR="00537EC0" w:rsidRPr="00870D9A">
        <w:rPr>
          <w:lang w:val="fr-FR"/>
        </w:rPr>
        <w:t>).</w:t>
      </w:r>
      <w:proofErr w:type="gramEnd"/>
    </w:p>
    <w:p w:rsidR="00CA6D6C" w:rsidRPr="00870D9A" w:rsidRDefault="00BA6DA5"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58</w:t>
      </w:r>
      <w:r w:rsidRPr="00870D9A">
        <w:rPr>
          <w:lang w:val="fr-FR"/>
        </w:rPr>
        <w:fldChar w:fldCharType="end"/>
      </w:r>
      <w:r w:rsidRPr="00870D9A">
        <w:rPr>
          <w:lang w:val="fr-FR"/>
        </w:rPr>
        <w:t>.  </w:t>
      </w:r>
      <w:r w:rsidR="00537EC0" w:rsidRPr="00870D9A">
        <w:rPr>
          <w:lang w:val="fr-FR"/>
        </w:rPr>
        <w:t>N</w:t>
      </w:r>
      <w:r w:rsidR="00870D9A" w:rsidRPr="00870D9A">
        <w:rPr>
          <w:lang w:val="fr-FR"/>
        </w:rPr>
        <w:t>’</w:t>
      </w:r>
      <w:r w:rsidR="00537EC0" w:rsidRPr="00870D9A">
        <w:rPr>
          <w:lang w:val="fr-FR"/>
        </w:rPr>
        <w:t>apercevant aucune raison de se départir de ses précédentes conclusions, la Cour estime qu</w:t>
      </w:r>
      <w:r w:rsidR="005C6257" w:rsidRPr="00870D9A">
        <w:rPr>
          <w:lang w:val="fr-FR"/>
        </w:rPr>
        <w:t xml:space="preserve">e la </w:t>
      </w:r>
      <w:r w:rsidR="008E2B75" w:rsidRPr="00870D9A">
        <w:rPr>
          <w:lang w:val="fr-FR"/>
        </w:rPr>
        <w:t xml:space="preserve">durée de la </w:t>
      </w:r>
      <w:r w:rsidR="005C6257" w:rsidRPr="00870D9A">
        <w:rPr>
          <w:lang w:val="fr-FR"/>
        </w:rPr>
        <w:t>procédure a été excessive et qu</w:t>
      </w:r>
      <w:r w:rsidR="00870D9A" w:rsidRPr="00870D9A">
        <w:rPr>
          <w:lang w:val="fr-FR"/>
        </w:rPr>
        <w:t>’</w:t>
      </w:r>
      <w:r w:rsidR="005C6257" w:rsidRPr="00870D9A">
        <w:rPr>
          <w:lang w:val="fr-FR"/>
        </w:rPr>
        <w:t>elle ne répond pas à l</w:t>
      </w:r>
      <w:r w:rsidR="00870D9A" w:rsidRPr="00870D9A">
        <w:rPr>
          <w:lang w:val="fr-FR"/>
        </w:rPr>
        <w:t>’</w:t>
      </w:r>
      <w:r w:rsidR="005C6257" w:rsidRPr="00870D9A">
        <w:rPr>
          <w:lang w:val="fr-FR"/>
        </w:rPr>
        <w:t>exigence du « délai raisonnable ».</w:t>
      </w:r>
      <w:r w:rsidR="00AE4277" w:rsidRPr="00870D9A">
        <w:rPr>
          <w:lang w:val="fr-FR"/>
        </w:rPr>
        <w:t xml:space="preserve"> </w:t>
      </w:r>
      <w:r w:rsidR="005C6257" w:rsidRPr="00870D9A">
        <w:rPr>
          <w:lang w:val="fr-FR"/>
        </w:rPr>
        <w:t xml:space="preserve">En conclusion, </w:t>
      </w:r>
      <w:r w:rsidR="00661A6F" w:rsidRPr="00870D9A">
        <w:rPr>
          <w:lang w:val="fr-FR"/>
        </w:rPr>
        <w:t>la Cour rejette l</w:t>
      </w:r>
      <w:r w:rsidR="00870D9A" w:rsidRPr="00870D9A">
        <w:rPr>
          <w:lang w:val="fr-FR"/>
        </w:rPr>
        <w:t>’</w:t>
      </w:r>
      <w:r w:rsidR="00661A6F" w:rsidRPr="00870D9A">
        <w:rPr>
          <w:lang w:val="fr-FR"/>
        </w:rPr>
        <w:t>exception du Gouvernement relative à la tardivité de la requête et estime qu</w:t>
      </w:r>
      <w:r w:rsidR="00870D9A" w:rsidRPr="00870D9A">
        <w:rPr>
          <w:lang w:val="fr-FR"/>
        </w:rPr>
        <w:t>’</w:t>
      </w:r>
      <w:r w:rsidR="005C6257" w:rsidRPr="00870D9A">
        <w:rPr>
          <w:lang w:val="fr-FR"/>
        </w:rPr>
        <w:t>il y a eu violation</w:t>
      </w:r>
      <w:r w:rsidR="00537EC0" w:rsidRPr="00870D9A">
        <w:rPr>
          <w:lang w:val="fr-FR"/>
        </w:rPr>
        <w:t xml:space="preserve"> de l</w:t>
      </w:r>
      <w:r w:rsidR="00870D9A" w:rsidRPr="00870D9A">
        <w:rPr>
          <w:lang w:val="fr-FR"/>
        </w:rPr>
        <w:t>’</w:t>
      </w:r>
      <w:r w:rsidR="00537EC0" w:rsidRPr="00870D9A">
        <w:rPr>
          <w:lang w:val="fr-FR"/>
        </w:rPr>
        <w:t xml:space="preserve">article 6 § 1 de la Convention </w:t>
      </w:r>
      <w:r w:rsidR="00661A6F" w:rsidRPr="00870D9A">
        <w:rPr>
          <w:lang w:val="fr-FR"/>
        </w:rPr>
        <w:t>en raison de la durée excessive de la procédure</w:t>
      </w:r>
      <w:r w:rsidR="008F4B2B" w:rsidRPr="00870D9A">
        <w:rPr>
          <w:lang w:val="fr-FR"/>
        </w:rPr>
        <w:t>.</w:t>
      </w:r>
    </w:p>
    <w:p w:rsidR="00E77CB3" w:rsidRPr="00870D9A" w:rsidRDefault="00CA6D6C" w:rsidP="00870D9A">
      <w:pPr>
        <w:pStyle w:val="ECHRHeading1"/>
        <w:rPr>
          <w:lang w:val="fr-FR"/>
        </w:rPr>
      </w:pPr>
      <w:r w:rsidRPr="00870D9A">
        <w:rPr>
          <w:lang w:val="fr-FR"/>
        </w:rPr>
        <w:t>II</w:t>
      </w:r>
      <w:r w:rsidR="00E77CB3" w:rsidRPr="00870D9A">
        <w:rPr>
          <w:lang w:val="fr-FR"/>
        </w:rPr>
        <w:t>.</w:t>
      </w:r>
      <w:proofErr w:type="gramStart"/>
      <w:r w:rsidR="00E77CB3" w:rsidRPr="00870D9A">
        <w:rPr>
          <w:lang w:val="fr-FR"/>
        </w:rPr>
        <w:t>  SUR</w:t>
      </w:r>
      <w:proofErr w:type="gramEnd"/>
      <w:r w:rsidR="00E77CB3" w:rsidRPr="00870D9A">
        <w:rPr>
          <w:lang w:val="fr-FR"/>
        </w:rPr>
        <w:t xml:space="preserve"> L</w:t>
      </w:r>
      <w:r w:rsidR="00870D9A" w:rsidRPr="00870D9A">
        <w:rPr>
          <w:lang w:val="fr-FR"/>
        </w:rPr>
        <w:t>’</w:t>
      </w:r>
      <w:r w:rsidR="00E77CB3" w:rsidRPr="00870D9A">
        <w:rPr>
          <w:lang w:val="fr-FR"/>
        </w:rPr>
        <w:t>APPLICATION DE L</w:t>
      </w:r>
      <w:r w:rsidR="00870D9A" w:rsidRPr="00870D9A">
        <w:rPr>
          <w:lang w:val="fr-FR"/>
        </w:rPr>
        <w:t>’</w:t>
      </w:r>
      <w:r w:rsidR="00E77CB3" w:rsidRPr="00870D9A">
        <w:rPr>
          <w:lang w:val="fr-FR"/>
        </w:rPr>
        <w:t>ARTICLE 41 DE LA CONVENTION</w:t>
      </w:r>
    </w:p>
    <w:p w:rsidR="00E77CB3" w:rsidRPr="00870D9A" w:rsidRDefault="005F347E"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59</w:t>
      </w:r>
      <w:r w:rsidRPr="00870D9A">
        <w:rPr>
          <w:lang w:val="fr-FR"/>
        </w:rPr>
        <w:fldChar w:fldCharType="end"/>
      </w:r>
      <w:r w:rsidR="00E77CB3" w:rsidRPr="00870D9A">
        <w:rPr>
          <w:lang w:val="fr-FR"/>
        </w:rPr>
        <w:t>.  Aux termes de l</w:t>
      </w:r>
      <w:r w:rsidR="00870D9A" w:rsidRPr="00870D9A">
        <w:rPr>
          <w:lang w:val="fr-FR"/>
        </w:rPr>
        <w:t>’</w:t>
      </w:r>
      <w:r w:rsidR="00E77CB3" w:rsidRPr="00870D9A">
        <w:rPr>
          <w:lang w:val="fr-FR"/>
        </w:rPr>
        <w:t>article 41 de la Convention,</w:t>
      </w:r>
    </w:p>
    <w:p w:rsidR="00E77CB3" w:rsidRPr="00870D9A" w:rsidRDefault="00E77CB3" w:rsidP="00870D9A">
      <w:pPr>
        <w:pStyle w:val="ECHRParaQuote"/>
        <w:keepNext/>
        <w:keepLines/>
        <w:rPr>
          <w:lang w:val="fr-FR"/>
        </w:rPr>
      </w:pPr>
      <w:r w:rsidRPr="00870D9A">
        <w:rPr>
          <w:lang w:val="fr-FR"/>
        </w:rPr>
        <w:t>« Si la Cour déclare qu</w:t>
      </w:r>
      <w:r w:rsidR="00870D9A" w:rsidRPr="00870D9A">
        <w:rPr>
          <w:lang w:val="fr-FR"/>
        </w:rPr>
        <w:t>’</w:t>
      </w:r>
      <w:r w:rsidRPr="00870D9A">
        <w:rPr>
          <w:lang w:val="fr-FR"/>
        </w:rPr>
        <w:t>il y a eu violation de la Convention ou de ses Protocoles, et si le droit interne de la Haute Partie contractante ne permet d</w:t>
      </w:r>
      <w:r w:rsidR="00870D9A" w:rsidRPr="00870D9A">
        <w:rPr>
          <w:lang w:val="fr-FR"/>
        </w:rPr>
        <w:t>’</w:t>
      </w:r>
      <w:r w:rsidRPr="00870D9A">
        <w:rPr>
          <w:lang w:val="fr-FR"/>
        </w:rPr>
        <w:t>effacer qu</w:t>
      </w:r>
      <w:r w:rsidR="00870D9A" w:rsidRPr="00870D9A">
        <w:rPr>
          <w:lang w:val="fr-FR"/>
        </w:rPr>
        <w:t>’</w:t>
      </w:r>
      <w:r w:rsidRPr="00870D9A">
        <w:rPr>
          <w:lang w:val="fr-FR"/>
        </w:rPr>
        <w:t>imparfaitement les conséquences de cette violation, la Cour accorde à la partie lésée, s</w:t>
      </w:r>
      <w:r w:rsidR="00870D9A" w:rsidRPr="00870D9A">
        <w:rPr>
          <w:lang w:val="fr-FR"/>
        </w:rPr>
        <w:t>’</w:t>
      </w:r>
      <w:r w:rsidRPr="00870D9A">
        <w:rPr>
          <w:lang w:val="fr-FR"/>
        </w:rPr>
        <w:t>il y a lieu, une satisfaction équitable. »</w:t>
      </w:r>
    </w:p>
    <w:p w:rsidR="00E77CB3" w:rsidRPr="00870D9A" w:rsidRDefault="00E77CB3" w:rsidP="00870D9A">
      <w:pPr>
        <w:pStyle w:val="ECHRHeading2"/>
        <w:rPr>
          <w:lang w:val="fr-FR"/>
        </w:rPr>
      </w:pPr>
      <w:r w:rsidRPr="00870D9A">
        <w:rPr>
          <w:lang w:val="fr-FR"/>
        </w:rPr>
        <w:t>A.</w:t>
      </w:r>
      <w:proofErr w:type="gramStart"/>
      <w:r w:rsidRPr="00870D9A">
        <w:rPr>
          <w:lang w:val="fr-FR"/>
        </w:rPr>
        <w:t>  Dommage</w:t>
      </w:r>
      <w:proofErr w:type="gramEnd"/>
    </w:p>
    <w:p w:rsidR="00E77CB3" w:rsidRPr="00870D9A" w:rsidRDefault="005F347E"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60</w:t>
      </w:r>
      <w:r w:rsidRPr="00870D9A">
        <w:rPr>
          <w:lang w:val="fr-FR"/>
        </w:rPr>
        <w:fldChar w:fldCharType="end"/>
      </w:r>
      <w:r w:rsidR="00E77CB3" w:rsidRPr="00870D9A">
        <w:rPr>
          <w:lang w:val="fr-FR"/>
        </w:rPr>
        <w:t>.  </w:t>
      </w:r>
      <w:r w:rsidR="00B3549A" w:rsidRPr="00870D9A">
        <w:rPr>
          <w:lang w:val="fr-FR"/>
        </w:rPr>
        <w:t>La requérante</w:t>
      </w:r>
      <w:r w:rsidR="00E77CB3" w:rsidRPr="00870D9A">
        <w:rPr>
          <w:lang w:val="fr-FR"/>
        </w:rPr>
        <w:t xml:space="preserve"> réclame </w:t>
      </w:r>
      <w:r w:rsidR="00BA6DA5" w:rsidRPr="00870D9A">
        <w:rPr>
          <w:lang w:val="fr-FR"/>
        </w:rPr>
        <w:t>12 625</w:t>
      </w:r>
      <w:r w:rsidR="00E77CB3" w:rsidRPr="00870D9A">
        <w:rPr>
          <w:lang w:val="fr-FR"/>
        </w:rPr>
        <w:t xml:space="preserve"> eu</w:t>
      </w:r>
      <w:r w:rsidR="00BA6DA5" w:rsidRPr="00870D9A">
        <w:rPr>
          <w:lang w:val="fr-FR"/>
        </w:rPr>
        <w:t xml:space="preserve">ros (EUR) au titre du préjudice </w:t>
      </w:r>
      <w:r w:rsidR="00E77CB3" w:rsidRPr="00870D9A">
        <w:rPr>
          <w:lang w:val="fr-FR"/>
        </w:rPr>
        <w:t>moral qu</w:t>
      </w:r>
      <w:r w:rsidR="00870D9A" w:rsidRPr="00870D9A">
        <w:rPr>
          <w:lang w:val="fr-FR"/>
        </w:rPr>
        <w:t>’</w:t>
      </w:r>
      <w:r w:rsidRPr="00870D9A">
        <w:rPr>
          <w:lang w:val="fr-FR"/>
        </w:rPr>
        <w:t>elle</w:t>
      </w:r>
      <w:r w:rsidR="00E77CB3" w:rsidRPr="00870D9A">
        <w:rPr>
          <w:lang w:val="fr-FR"/>
        </w:rPr>
        <w:t xml:space="preserve"> aurait subi.</w:t>
      </w:r>
    </w:p>
    <w:p w:rsidR="00E77CB3" w:rsidRPr="00870D9A" w:rsidRDefault="005F347E"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61</w:t>
      </w:r>
      <w:r w:rsidRPr="00870D9A">
        <w:rPr>
          <w:lang w:val="fr-FR"/>
        </w:rPr>
        <w:fldChar w:fldCharType="end"/>
      </w:r>
      <w:r w:rsidR="00E77CB3" w:rsidRPr="00870D9A">
        <w:rPr>
          <w:lang w:val="fr-FR"/>
        </w:rPr>
        <w:t xml:space="preserve">.  Le Gouvernement </w:t>
      </w:r>
      <w:r w:rsidR="00BA6DA5" w:rsidRPr="00870D9A">
        <w:rPr>
          <w:lang w:val="fr-FR"/>
        </w:rPr>
        <w:t>conteste les prétentions de la partie requérante.</w:t>
      </w:r>
    </w:p>
    <w:p w:rsidR="00E77CB3" w:rsidRPr="00870D9A" w:rsidRDefault="005F347E"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62</w:t>
      </w:r>
      <w:r w:rsidRPr="00870D9A">
        <w:rPr>
          <w:lang w:val="fr-FR"/>
        </w:rPr>
        <w:fldChar w:fldCharType="end"/>
      </w:r>
      <w:r w:rsidR="00E77CB3" w:rsidRPr="00870D9A">
        <w:rPr>
          <w:lang w:val="fr-FR"/>
        </w:rPr>
        <w:t>.  La Cour considère qu</w:t>
      </w:r>
      <w:r w:rsidR="00870D9A" w:rsidRPr="00870D9A">
        <w:rPr>
          <w:lang w:val="fr-FR"/>
        </w:rPr>
        <w:t>’</w:t>
      </w:r>
      <w:r w:rsidR="00E77CB3" w:rsidRPr="00870D9A">
        <w:rPr>
          <w:lang w:val="fr-FR"/>
        </w:rPr>
        <w:t>il y a lieu d</w:t>
      </w:r>
      <w:r w:rsidR="00870D9A" w:rsidRPr="00870D9A">
        <w:rPr>
          <w:lang w:val="fr-FR"/>
        </w:rPr>
        <w:t>’</w:t>
      </w:r>
      <w:r w:rsidR="00E77CB3" w:rsidRPr="00870D9A">
        <w:rPr>
          <w:lang w:val="fr-FR"/>
        </w:rPr>
        <w:t xml:space="preserve">octroyer </w:t>
      </w:r>
      <w:r w:rsidRPr="00870D9A">
        <w:rPr>
          <w:lang w:val="fr-FR"/>
        </w:rPr>
        <w:t>à la requérante</w:t>
      </w:r>
      <w:r w:rsidR="00E77CB3" w:rsidRPr="00870D9A">
        <w:rPr>
          <w:lang w:val="fr-FR"/>
        </w:rPr>
        <w:t xml:space="preserve"> </w:t>
      </w:r>
      <w:r w:rsidR="005C6257" w:rsidRPr="00870D9A">
        <w:rPr>
          <w:lang w:val="fr-FR"/>
        </w:rPr>
        <w:t>3</w:t>
      </w:r>
      <w:r w:rsidR="00E70CF7" w:rsidRPr="00870D9A">
        <w:rPr>
          <w:lang w:val="fr-FR"/>
        </w:rPr>
        <w:t> </w:t>
      </w:r>
      <w:r w:rsidR="005C6257" w:rsidRPr="00870D9A">
        <w:rPr>
          <w:lang w:val="fr-FR"/>
        </w:rPr>
        <w:t>0</w:t>
      </w:r>
      <w:r w:rsidR="00BA6DA5" w:rsidRPr="00870D9A">
        <w:rPr>
          <w:lang w:val="fr-FR"/>
        </w:rPr>
        <w:t>00</w:t>
      </w:r>
      <w:r w:rsidR="00E70CF7" w:rsidRPr="00870D9A">
        <w:rPr>
          <w:lang w:val="fr-FR"/>
        </w:rPr>
        <w:t> </w:t>
      </w:r>
      <w:r w:rsidR="00E77CB3" w:rsidRPr="00870D9A">
        <w:rPr>
          <w:lang w:val="fr-FR"/>
        </w:rPr>
        <w:t>EUR au titre du préjudice moral.</w:t>
      </w:r>
    </w:p>
    <w:p w:rsidR="00E77CB3" w:rsidRPr="00870D9A" w:rsidRDefault="00E77CB3" w:rsidP="00870D9A">
      <w:pPr>
        <w:pStyle w:val="ECHRHeading2"/>
        <w:rPr>
          <w:lang w:val="fr-FR"/>
        </w:rPr>
      </w:pPr>
      <w:r w:rsidRPr="00870D9A">
        <w:rPr>
          <w:lang w:val="fr-FR"/>
        </w:rPr>
        <w:t>B.</w:t>
      </w:r>
      <w:proofErr w:type="gramStart"/>
      <w:r w:rsidRPr="00870D9A">
        <w:rPr>
          <w:lang w:val="fr-FR"/>
        </w:rPr>
        <w:t>  Frais</w:t>
      </w:r>
      <w:proofErr w:type="gramEnd"/>
      <w:r w:rsidRPr="00870D9A">
        <w:rPr>
          <w:lang w:val="fr-FR"/>
        </w:rPr>
        <w:t xml:space="preserve"> et dépens</w:t>
      </w:r>
    </w:p>
    <w:p w:rsidR="00E77CB3" w:rsidRPr="00870D9A" w:rsidRDefault="005F347E"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63</w:t>
      </w:r>
      <w:r w:rsidRPr="00870D9A">
        <w:rPr>
          <w:lang w:val="fr-FR"/>
        </w:rPr>
        <w:fldChar w:fldCharType="end"/>
      </w:r>
      <w:r w:rsidR="00E77CB3" w:rsidRPr="00870D9A">
        <w:rPr>
          <w:lang w:val="fr-FR"/>
        </w:rPr>
        <w:t>.  </w:t>
      </w:r>
      <w:r w:rsidRPr="00870D9A">
        <w:rPr>
          <w:lang w:val="fr-FR"/>
        </w:rPr>
        <w:t>La requérante</w:t>
      </w:r>
      <w:r w:rsidR="00E77CB3" w:rsidRPr="00870D9A">
        <w:rPr>
          <w:lang w:val="fr-FR"/>
        </w:rPr>
        <w:t xml:space="preserve"> demande également </w:t>
      </w:r>
      <w:r w:rsidR="00AD7E36" w:rsidRPr="00870D9A">
        <w:rPr>
          <w:lang w:val="fr-FR"/>
        </w:rPr>
        <w:t>3 206,31</w:t>
      </w:r>
      <w:r w:rsidR="00E77CB3" w:rsidRPr="00870D9A">
        <w:rPr>
          <w:lang w:val="fr-FR"/>
        </w:rPr>
        <w:t xml:space="preserve"> EUR pour les frais et dépens engagés devant les juridictions internes et </w:t>
      </w:r>
      <w:r w:rsidR="00AD7E36" w:rsidRPr="00870D9A">
        <w:rPr>
          <w:lang w:val="fr-FR"/>
        </w:rPr>
        <w:t>4 553.92</w:t>
      </w:r>
      <w:r w:rsidR="00E77CB3" w:rsidRPr="00870D9A">
        <w:rPr>
          <w:lang w:val="fr-FR"/>
        </w:rPr>
        <w:t xml:space="preserve"> EUR pour ceux engagés devant la Cour.</w:t>
      </w:r>
    </w:p>
    <w:p w:rsidR="00E77CB3" w:rsidRPr="00870D9A" w:rsidRDefault="005F347E"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64</w:t>
      </w:r>
      <w:r w:rsidRPr="00870D9A">
        <w:rPr>
          <w:lang w:val="fr-FR"/>
        </w:rPr>
        <w:fldChar w:fldCharType="end"/>
      </w:r>
      <w:r w:rsidR="00E77CB3" w:rsidRPr="00870D9A">
        <w:rPr>
          <w:lang w:val="fr-FR"/>
        </w:rPr>
        <w:t xml:space="preserve">.  Le Gouvernement </w:t>
      </w:r>
      <w:r w:rsidR="00AD7E36" w:rsidRPr="00870D9A">
        <w:rPr>
          <w:lang w:val="fr-FR"/>
        </w:rPr>
        <w:t>conteste l</w:t>
      </w:r>
      <w:r w:rsidR="001E313F" w:rsidRPr="00870D9A">
        <w:rPr>
          <w:lang w:val="fr-FR"/>
        </w:rPr>
        <w:t>es prétentions</w:t>
      </w:r>
      <w:r w:rsidR="00AD7E36" w:rsidRPr="00870D9A">
        <w:rPr>
          <w:lang w:val="fr-FR"/>
        </w:rPr>
        <w:t xml:space="preserve"> présenté</w:t>
      </w:r>
      <w:r w:rsidR="00AA3604" w:rsidRPr="00870D9A">
        <w:rPr>
          <w:lang w:val="fr-FR"/>
        </w:rPr>
        <w:t>e</w:t>
      </w:r>
      <w:r w:rsidR="001E313F" w:rsidRPr="00870D9A">
        <w:rPr>
          <w:lang w:val="fr-FR"/>
        </w:rPr>
        <w:t>s</w:t>
      </w:r>
      <w:r w:rsidR="00AD7E36" w:rsidRPr="00870D9A">
        <w:rPr>
          <w:lang w:val="fr-FR"/>
        </w:rPr>
        <w:t xml:space="preserve"> par la requérante. Il allègue </w:t>
      </w:r>
      <w:r w:rsidR="00914B08" w:rsidRPr="00870D9A">
        <w:rPr>
          <w:lang w:val="fr-FR"/>
        </w:rPr>
        <w:t xml:space="preserve">notamment </w:t>
      </w:r>
      <w:r w:rsidR="00AD7E36" w:rsidRPr="00870D9A">
        <w:rPr>
          <w:lang w:val="fr-FR"/>
        </w:rPr>
        <w:t>que cette dernière n</w:t>
      </w:r>
      <w:r w:rsidR="00870D9A" w:rsidRPr="00870D9A">
        <w:rPr>
          <w:lang w:val="fr-FR"/>
        </w:rPr>
        <w:t>’</w:t>
      </w:r>
      <w:r w:rsidR="00AD7E36" w:rsidRPr="00870D9A">
        <w:rPr>
          <w:lang w:val="fr-FR"/>
        </w:rPr>
        <w:t>aurait pas satisfait aux obligations lui incomba</w:t>
      </w:r>
      <w:r w:rsidR="00AA3604" w:rsidRPr="00870D9A">
        <w:rPr>
          <w:lang w:val="fr-FR"/>
        </w:rPr>
        <w:t>n</w:t>
      </w:r>
      <w:r w:rsidR="00AD7E36" w:rsidRPr="00870D9A">
        <w:rPr>
          <w:lang w:val="fr-FR"/>
        </w:rPr>
        <w:t>t aux termes de l</w:t>
      </w:r>
      <w:r w:rsidR="00870D9A" w:rsidRPr="00870D9A">
        <w:rPr>
          <w:lang w:val="fr-FR"/>
        </w:rPr>
        <w:t>’</w:t>
      </w:r>
      <w:r w:rsidR="00AD7E36" w:rsidRPr="00870D9A">
        <w:rPr>
          <w:lang w:val="fr-FR"/>
        </w:rPr>
        <w:t>article 60 du règlement</w:t>
      </w:r>
      <w:r w:rsidR="00AA3604" w:rsidRPr="00870D9A">
        <w:rPr>
          <w:lang w:val="fr-FR"/>
        </w:rPr>
        <w:t xml:space="preserve"> de présenter les justificatifs nécessaires dans les observations écrites sur le fond.</w:t>
      </w:r>
    </w:p>
    <w:p w:rsidR="00E77CB3" w:rsidRPr="00870D9A" w:rsidRDefault="005F347E"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65</w:t>
      </w:r>
      <w:r w:rsidRPr="00870D9A">
        <w:rPr>
          <w:lang w:val="fr-FR"/>
        </w:rPr>
        <w:fldChar w:fldCharType="end"/>
      </w:r>
      <w:r w:rsidR="00E77CB3" w:rsidRPr="00870D9A">
        <w:rPr>
          <w:lang w:val="fr-FR"/>
        </w:rPr>
        <w:t>.  </w:t>
      </w:r>
      <w:r w:rsidRPr="00870D9A">
        <w:rPr>
          <w:lang w:val="fr-FR"/>
        </w:rPr>
        <w:t>Selon la jurisprudence de la Cour, un requérant ne peut obtenir le remboursement de ses frais et dépens que dans la mesure où se trouvent établis leur réalité, leur nécessité et le caractère raisonnable de leur taux. En l</w:t>
      </w:r>
      <w:r w:rsidR="00870D9A" w:rsidRPr="00870D9A">
        <w:rPr>
          <w:lang w:val="fr-FR"/>
        </w:rPr>
        <w:t>’</w:t>
      </w:r>
      <w:r w:rsidRPr="00870D9A">
        <w:rPr>
          <w:lang w:val="fr-FR"/>
        </w:rPr>
        <w:t>espèce, compte</w:t>
      </w:r>
      <w:r w:rsidR="00E77CB3" w:rsidRPr="00870D9A">
        <w:rPr>
          <w:lang w:val="fr-FR"/>
        </w:rPr>
        <w:t xml:space="preserve"> tenu des documents </w:t>
      </w:r>
      <w:r w:rsidR="00D576CF" w:rsidRPr="00870D9A">
        <w:rPr>
          <w:lang w:val="fr-FR"/>
        </w:rPr>
        <w:t>dont elle dispose</w:t>
      </w:r>
      <w:r w:rsidR="00E77CB3" w:rsidRPr="00870D9A">
        <w:rPr>
          <w:lang w:val="fr-FR"/>
        </w:rPr>
        <w:t xml:space="preserve"> et de sa jurisprudence, la Cour rejette la demande relative aux frais et dépens de la procédure nationale,</w:t>
      </w:r>
      <w:r w:rsidR="00914B08" w:rsidRPr="00870D9A">
        <w:rPr>
          <w:lang w:val="fr-FR"/>
        </w:rPr>
        <w:t xml:space="preserve"> faute pour la requérante d</w:t>
      </w:r>
      <w:r w:rsidR="00870D9A" w:rsidRPr="00870D9A">
        <w:rPr>
          <w:lang w:val="fr-FR"/>
        </w:rPr>
        <w:t>’</w:t>
      </w:r>
      <w:r w:rsidR="00914B08" w:rsidRPr="00870D9A">
        <w:rPr>
          <w:lang w:val="fr-FR"/>
        </w:rPr>
        <w:t>avoir présenté des justificatifs à l</w:t>
      </w:r>
      <w:r w:rsidR="00870D9A" w:rsidRPr="00870D9A">
        <w:rPr>
          <w:lang w:val="fr-FR"/>
        </w:rPr>
        <w:t>’</w:t>
      </w:r>
      <w:r w:rsidR="00914B08" w:rsidRPr="00870D9A">
        <w:rPr>
          <w:lang w:val="fr-FR"/>
        </w:rPr>
        <w:t>appui</w:t>
      </w:r>
      <w:r w:rsidR="0073489A" w:rsidRPr="00870D9A">
        <w:rPr>
          <w:lang w:val="fr-FR"/>
        </w:rPr>
        <w:t xml:space="preserve"> de cette partie de </w:t>
      </w:r>
      <w:r w:rsidR="001E313F" w:rsidRPr="00870D9A">
        <w:rPr>
          <w:lang w:val="fr-FR"/>
        </w:rPr>
        <w:t>s</w:t>
      </w:r>
      <w:r w:rsidR="0073489A" w:rsidRPr="00870D9A">
        <w:rPr>
          <w:lang w:val="fr-FR"/>
        </w:rPr>
        <w:t>a demande</w:t>
      </w:r>
      <w:r w:rsidR="00914B08" w:rsidRPr="00870D9A">
        <w:rPr>
          <w:lang w:val="fr-FR"/>
        </w:rPr>
        <w:t>. Elle</w:t>
      </w:r>
      <w:r w:rsidR="00E77CB3" w:rsidRPr="00870D9A">
        <w:rPr>
          <w:lang w:val="fr-FR"/>
        </w:rPr>
        <w:t xml:space="preserve"> estime</w:t>
      </w:r>
      <w:r w:rsidR="00914B08" w:rsidRPr="00870D9A">
        <w:rPr>
          <w:lang w:val="fr-FR"/>
        </w:rPr>
        <w:t xml:space="preserve"> en revanche</w:t>
      </w:r>
      <w:r w:rsidR="00E77CB3" w:rsidRPr="00870D9A">
        <w:rPr>
          <w:lang w:val="fr-FR"/>
        </w:rPr>
        <w:t xml:space="preserve"> </w:t>
      </w:r>
      <w:r w:rsidR="00E77CB3" w:rsidRPr="00870D9A">
        <w:rPr>
          <w:lang w:val="fr-FR"/>
        </w:rPr>
        <w:lastRenderedPageBreak/>
        <w:t xml:space="preserve">raisonnable la somme de </w:t>
      </w:r>
      <w:r w:rsidR="0024004B" w:rsidRPr="00870D9A">
        <w:rPr>
          <w:lang w:val="fr-FR"/>
        </w:rPr>
        <w:t>1</w:t>
      </w:r>
      <w:r w:rsidR="00914B08" w:rsidRPr="00870D9A">
        <w:rPr>
          <w:lang w:val="fr-FR"/>
        </w:rPr>
        <w:t xml:space="preserve"> </w:t>
      </w:r>
      <w:r w:rsidR="0024004B" w:rsidRPr="00870D9A">
        <w:rPr>
          <w:lang w:val="fr-FR"/>
        </w:rPr>
        <w:t>5</w:t>
      </w:r>
      <w:r w:rsidR="00914B08" w:rsidRPr="00870D9A">
        <w:rPr>
          <w:lang w:val="fr-FR"/>
        </w:rPr>
        <w:t>00</w:t>
      </w:r>
      <w:r w:rsidR="00E77CB3" w:rsidRPr="00870D9A">
        <w:rPr>
          <w:lang w:val="fr-FR"/>
        </w:rPr>
        <w:t xml:space="preserve"> EUR pour la procédure devant la Cour et l</w:t>
      </w:r>
      <w:r w:rsidR="00870D9A" w:rsidRPr="00870D9A">
        <w:rPr>
          <w:lang w:val="fr-FR"/>
        </w:rPr>
        <w:t>’</w:t>
      </w:r>
      <w:r w:rsidR="00E77CB3" w:rsidRPr="00870D9A">
        <w:rPr>
          <w:lang w:val="fr-FR"/>
        </w:rPr>
        <w:t xml:space="preserve">accorde </w:t>
      </w:r>
      <w:r w:rsidRPr="00870D9A">
        <w:rPr>
          <w:lang w:val="fr-FR"/>
        </w:rPr>
        <w:t>à la requérante</w:t>
      </w:r>
      <w:r w:rsidR="00E77CB3" w:rsidRPr="00870D9A">
        <w:rPr>
          <w:lang w:val="fr-FR"/>
        </w:rPr>
        <w:t>.</w:t>
      </w:r>
    </w:p>
    <w:p w:rsidR="00E77CB3" w:rsidRPr="00870D9A" w:rsidRDefault="00E77CB3" w:rsidP="00870D9A">
      <w:pPr>
        <w:pStyle w:val="ECHRHeading2"/>
        <w:rPr>
          <w:lang w:val="fr-FR"/>
        </w:rPr>
      </w:pPr>
      <w:r w:rsidRPr="00870D9A">
        <w:rPr>
          <w:lang w:val="fr-FR"/>
        </w:rPr>
        <w:t>C.</w:t>
      </w:r>
      <w:proofErr w:type="gramStart"/>
      <w:r w:rsidRPr="00870D9A">
        <w:rPr>
          <w:lang w:val="fr-FR"/>
        </w:rPr>
        <w:t>  Intérêts</w:t>
      </w:r>
      <w:proofErr w:type="gramEnd"/>
      <w:r w:rsidRPr="00870D9A">
        <w:rPr>
          <w:lang w:val="fr-FR"/>
        </w:rPr>
        <w:t xml:space="preserve"> moratoires</w:t>
      </w:r>
    </w:p>
    <w:p w:rsidR="00E77CB3" w:rsidRPr="00870D9A" w:rsidRDefault="00724ADB" w:rsidP="00870D9A">
      <w:pPr>
        <w:pStyle w:val="ECHRPara"/>
        <w:rPr>
          <w:lang w:val="fr-FR"/>
        </w:rPr>
      </w:pPr>
      <w:r w:rsidRPr="00870D9A">
        <w:rPr>
          <w:lang w:val="fr-FR"/>
        </w:rPr>
        <w:fldChar w:fldCharType="begin"/>
      </w:r>
      <w:r w:rsidRPr="00870D9A">
        <w:rPr>
          <w:lang w:val="fr-FR"/>
        </w:rPr>
        <w:instrText xml:space="preserve"> SEQ level0 \*arabic </w:instrText>
      </w:r>
      <w:r w:rsidRPr="00870D9A">
        <w:rPr>
          <w:lang w:val="fr-FR"/>
        </w:rPr>
        <w:fldChar w:fldCharType="separate"/>
      </w:r>
      <w:r w:rsidR="00870D9A" w:rsidRPr="00870D9A">
        <w:rPr>
          <w:noProof/>
          <w:lang w:val="fr-FR"/>
        </w:rPr>
        <w:t>66</w:t>
      </w:r>
      <w:r w:rsidRPr="00870D9A">
        <w:rPr>
          <w:lang w:val="fr-FR"/>
        </w:rPr>
        <w:fldChar w:fldCharType="end"/>
      </w:r>
      <w:r w:rsidRPr="00870D9A">
        <w:rPr>
          <w:lang w:val="fr-FR"/>
        </w:rPr>
        <w:t>.  </w:t>
      </w:r>
      <w:r w:rsidR="00E77CB3" w:rsidRPr="00870D9A">
        <w:rPr>
          <w:lang w:val="fr-FR"/>
        </w:rPr>
        <w:t>La Cour juge approprié de calquer le taux des intérêts moratoires sur le taux d</w:t>
      </w:r>
      <w:r w:rsidR="00870D9A" w:rsidRPr="00870D9A">
        <w:rPr>
          <w:lang w:val="fr-FR"/>
        </w:rPr>
        <w:t>’</w:t>
      </w:r>
      <w:r w:rsidR="00E77CB3" w:rsidRPr="00870D9A">
        <w:rPr>
          <w:lang w:val="fr-FR"/>
        </w:rPr>
        <w:t>intérêt de la facilité de prêt marginal de la Banque centrale européenne majoré de trois points de pourcentage.</w:t>
      </w:r>
    </w:p>
    <w:p w:rsidR="00E77CB3" w:rsidRPr="00870D9A" w:rsidRDefault="00E77CB3" w:rsidP="00870D9A">
      <w:pPr>
        <w:pStyle w:val="ECHRTitle1"/>
        <w:rPr>
          <w:lang w:val="fr-FR"/>
        </w:rPr>
      </w:pPr>
      <w:r w:rsidRPr="00870D9A">
        <w:rPr>
          <w:lang w:val="fr-FR"/>
        </w:rPr>
        <w:t>PAR CES MOTIFS, LA COUR</w:t>
      </w:r>
      <w:r w:rsidR="005F347E" w:rsidRPr="00870D9A">
        <w:rPr>
          <w:lang w:val="fr-FR"/>
        </w:rPr>
        <w:t>, À L</w:t>
      </w:r>
      <w:r w:rsidR="00870D9A" w:rsidRPr="00870D9A">
        <w:rPr>
          <w:lang w:val="fr-FR"/>
        </w:rPr>
        <w:t>’</w:t>
      </w:r>
      <w:r w:rsidR="005F347E" w:rsidRPr="00870D9A">
        <w:rPr>
          <w:lang w:val="fr-FR"/>
        </w:rPr>
        <w:t>UNANIMITÉ,</w:t>
      </w:r>
    </w:p>
    <w:p w:rsidR="00FB2B45" w:rsidRPr="00870D9A" w:rsidRDefault="008E2B75" w:rsidP="00870D9A">
      <w:pPr>
        <w:pStyle w:val="JuList"/>
        <w:rPr>
          <w:lang w:val="fr-FR"/>
        </w:rPr>
      </w:pPr>
      <w:r w:rsidRPr="00870D9A">
        <w:rPr>
          <w:lang w:val="fr-FR"/>
        </w:rPr>
        <w:t>1</w:t>
      </w:r>
      <w:r w:rsidR="0073489A" w:rsidRPr="00870D9A">
        <w:rPr>
          <w:lang w:val="fr-FR"/>
        </w:rPr>
        <w:t>.</w:t>
      </w:r>
      <w:r w:rsidR="00FB2B45" w:rsidRPr="00870D9A">
        <w:rPr>
          <w:lang w:val="fr-FR"/>
        </w:rPr>
        <w:t>  </w:t>
      </w:r>
      <w:r w:rsidR="00CA6D6C" w:rsidRPr="00870D9A">
        <w:rPr>
          <w:i/>
          <w:lang w:val="fr-FR"/>
        </w:rPr>
        <w:t>Joint</w:t>
      </w:r>
      <w:r w:rsidR="00CA6D6C" w:rsidRPr="00870D9A">
        <w:rPr>
          <w:lang w:val="fr-FR"/>
        </w:rPr>
        <w:t xml:space="preserve"> au fond</w:t>
      </w:r>
      <w:r w:rsidR="003E3A6B" w:rsidRPr="00870D9A">
        <w:rPr>
          <w:lang w:val="fr-FR"/>
        </w:rPr>
        <w:t>,</w:t>
      </w:r>
      <w:r w:rsidR="004A01DF" w:rsidRPr="00870D9A">
        <w:rPr>
          <w:lang w:val="fr-FR"/>
        </w:rPr>
        <w:t xml:space="preserve"> et rejette</w:t>
      </w:r>
      <w:r w:rsidR="00CA6D6C" w:rsidRPr="00870D9A">
        <w:rPr>
          <w:lang w:val="fr-FR"/>
        </w:rPr>
        <w:t xml:space="preserve"> l</w:t>
      </w:r>
      <w:r w:rsidR="00870D9A" w:rsidRPr="00870D9A">
        <w:rPr>
          <w:lang w:val="fr-FR"/>
        </w:rPr>
        <w:t>’</w:t>
      </w:r>
      <w:r w:rsidR="00CA6D6C" w:rsidRPr="00870D9A">
        <w:rPr>
          <w:lang w:val="fr-FR"/>
        </w:rPr>
        <w:t>exception soulevée par le Gouvernement</w:t>
      </w:r>
      <w:r w:rsidR="0080342A" w:rsidRPr="00870D9A">
        <w:rPr>
          <w:lang w:val="fr-FR"/>
        </w:rPr>
        <w:t xml:space="preserve"> </w:t>
      </w:r>
      <w:r w:rsidR="0073489A" w:rsidRPr="00870D9A">
        <w:rPr>
          <w:lang w:val="fr-FR"/>
        </w:rPr>
        <w:t>quant à</w:t>
      </w:r>
      <w:r w:rsidR="0080342A" w:rsidRPr="00870D9A">
        <w:rPr>
          <w:lang w:val="fr-FR"/>
        </w:rPr>
        <w:t xml:space="preserve"> la tardivité de la requête</w:t>
      </w:r>
      <w:r w:rsidR="008D0B4D" w:rsidRPr="00870D9A">
        <w:rPr>
          <w:lang w:val="fr-FR"/>
        </w:rPr>
        <w:t>,</w:t>
      </w:r>
      <w:r w:rsidR="00767F79" w:rsidRPr="00870D9A">
        <w:rPr>
          <w:lang w:val="fr-FR"/>
        </w:rPr>
        <w:t xml:space="preserve"> </w:t>
      </w:r>
      <w:r w:rsidR="008D0B4D" w:rsidRPr="00870D9A">
        <w:rPr>
          <w:lang w:val="fr-FR"/>
        </w:rPr>
        <w:t xml:space="preserve">et </w:t>
      </w:r>
      <w:r w:rsidR="008D0B4D" w:rsidRPr="00870D9A">
        <w:rPr>
          <w:i/>
          <w:lang w:val="fr-FR"/>
        </w:rPr>
        <w:t>d</w:t>
      </w:r>
      <w:r w:rsidR="00FB2B45" w:rsidRPr="00870D9A">
        <w:rPr>
          <w:i/>
          <w:lang w:val="fr-FR"/>
        </w:rPr>
        <w:t>éclare</w:t>
      </w:r>
      <w:r w:rsidR="00FB2B45" w:rsidRPr="00870D9A">
        <w:rPr>
          <w:lang w:val="fr-FR"/>
        </w:rPr>
        <w:t xml:space="preserve"> </w:t>
      </w:r>
      <w:r w:rsidR="005F347E" w:rsidRPr="00870D9A">
        <w:rPr>
          <w:lang w:val="fr-FR"/>
        </w:rPr>
        <w:t>la requête recevable</w:t>
      </w:r>
      <w:r w:rsidR="00F74269" w:rsidRPr="00870D9A">
        <w:rPr>
          <w:lang w:val="fr-FR"/>
        </w:rPr>
        <w:t> </w:t>
      </w:r>
      <w:r w:rsidR="0080342A" w:rsidRPr="00870D9A">
        <w:rPr>
          <w:lang w:val="fr-FR"/>
        </w:rPr>
        <w:t>;</w:t>
      </w:r>
    </w:p>
    <w:p w:rsidR="002572F6" w:rsidRPr="00870D9A" w:rsidRDefault="002572F6" w:rsidP="00870D9A">
      <w:pPr>
        <w:pStyle w:val="JuList"/>
        <w:rPr>
          <w:lang w:val="fr-FR"/>
        </w:rPr>
      </w:pPr>
    </w:p>
    <w:p w:rsidR="00E77CB3" w:rsidRPr="00870D9A" w:rsidRDefault="008E2B75" w:rsidP="00870D9A">
      <w:pPr>
        <w:pStyle w:val="JuList"/>
        <w:rPr>
          <w:lang w:val="fr-FR"/>
        </w:rPr>
      </w:pPr>
      <w:r w:rsidRPr="00870D9A">
        <w:rPr>
          <w:lang w:val="fr-FR"/>
        </w:rPr>
        <w:t>2</w:t>
      </w:r>
      <w:r w:rsidR="00E77CB3" w:rsidRPr="00870D9A">
        <w:rPr>
          <w:lang w:val="fr-FR"/>
        </w:rPr>
        <w:t>.  </w:t>
      </w:r>
      <w:r w:rsidR="00E77CB3" w:rsidRPr="00870D9A">
        <w:rPr>
          <w:i/>
          <w:lang w:val="fr-FR"/>
        </w:rPr>
        <w:t>Dit</w:t>
      </w:r>
      <w:r w:rsidR="00196D1A" w:rsidRPr="00870D9A">
        <w:rPr>
          <w:i/>
          <w:lang w:val="fr-FR"/>
        </w:rPr>
        <w:t>,</w:t>
      </w:r>
      <w:r w:rsidR="00E77CB3" w:rsidRPr="00870D9A">
        <w:rPr>
          <w:lang w:val="fr-FR"/>
        </w:rPr>
        <w:t xml:space="preserve"> qu</w:t>
      </w:r>
      <w:r w:rsidR="00870D9A" w:rsidRPr="00870D9A">
        <w:rPr>
          <w:lang w:val="fr-FR"/>
        </w:rPr>
        <w:t>’</w:t>
      </w:r>
      <w:r w:rsidR="00E77CB3" w:rsidRPr="00870D9A">
        <w:rPr>
          <w:lang w:val="fr-FR"/>
        </w:rPr>
        <w:t>il y a eu violation de l</w:t>
      </w:r>
      <w:r w:rsidR="00870D9A" w:rsidRPr="00870D9A">
        <w:rPr>
          <w:lang w:val="fr-FR"/>
        </w:rPr>
        <w:t>’</w:t>
      </w:r>
      <w:r w:rsidR="00E77CB3" w:rsidRPr="00870D9A">
        <w:rPr>
          <w:lang w:val="fr-FR"/>
        </w:rPr>
        <w:t xml:space="preserve">article </w:t>
      </w:r>
      <w:r w:rsidR="00800343" w:rsidRPr="00870D9A">
        <w:rPr>
          <w:lang w:val="fr-FR"/>
        </w:rPr>
        <w:t>6 § 1</w:t>
      </w:r>
      <w:r w:rsidR="00E77CB3" w:rsidRPr="00870D9A">
        <w:rPr>
          <w:lang w:val="fr-FR"/>
        </w:rPr>
        <w:t xml:space="preserve"> de la Convention</w:t>
      </w:r>
      <w:r w:rsidR="00800343" w:rsidRPr="00870D9A">
        <w:rPr>
          <w:lang w:val="fr-FR"/>
        </w:rPr>
        <w:t xml:space="preserve"> en ce qui concerne le droit à un </w:t>
      </w:r>
      <w:r w:rsidR="00044F36" w:rsidRPr="00870D9A">
        <w:rPr>
          <w:lang w:val="fr-FR"/>
        </w:rPr>
        <w:t>procès dans un délai raisonnable</w:t>
      </w:r>
      <w:r w:rsidR="00E77CB3" w:rsidRPr="00870D9A">
        <w:rPr>
          <w:lang w:val="fr-FR"/>
        </w:rPr>
        <w:t> ;</w:t>
      </w:r>
    </w:p>
    <w:p w:rsidR="00E77CB3" w:rsidRPr="00870D9A" w:rsidRDefault="00E77CB3" w:rsidP="00870D9A">
      <w:pPr>
        <w:pStyle w:val="JuList"/>
        <w:rPr>
          <w:lang w:val="fr-FR"/>
        </w:rPr>
      </w:pPr>
    </w:p>
    <w:p w:rsidR="00E36B14" w:rsidRPr="00870D9A" w:rsidRDefault="008E2B75" w:rsidP="00870D9A">
      <w:pPr>
        <w:pStyle w:val="JuList"/>
        <w:rPr>
          <w:lang w:val="fr-FR"/>
        </w:rPr>
      </w:pPr>
      <w:r w:rsidRPr="00870D9A">
        <w:rPr>
          <w:lang w:val="fr-FR"/>
        </w:rPr>
        <w:t>3</w:t>
      </w:r>
      <w:r w:rsidR="00E77CB3" w:rsidRPr="00870D9A">
        <w:rPr>
          <w:lang w:val="fr-FR"/>
        </w:rPr>
        <w:t>.  </w:t>
      </w:r>
      <w:r w:rsidR="00E77CB3" w:rsidRPr="00870D9A">
        <w:rPr>
          <w:i/>
          <w:lang w:val="fr-FR"/>
        </w:rPr>
        <w:t>Dit</w:t>
      </w:r>
      <w:r w:rsidR="00196D1A" w:rsidRPr="00870D9A">
        <w:rPr>
          <w:i/>
          <w:lang w:val="fr-FR"/>
        </w:rPr>
        <w:t>,</w:t>
      </w:r>
    </w:p>
    <w:p w:rsidR="00E77CB3" w:rsidRPr="00870D9A" w:rsidRDefault="00E77CB3" w:rsidP="00870D9A">
      <w:pPr>
        <w:pStyle w:val="JuLista"/>
        <w:rPr>
          <w:lang w:val="fr-FR"/>
        </w:rPr>
      </w:pPr>
      <w:r w:rsidRPr="00870D9A">
        <w:rPr>
          <w:lang w:val="fr-FR"/>
        </w:rPr>
        <w:t>a)  que l</w:t>
      </w:r>
      <w:r w:rsidR="00870D9A" w:rsidRPr="00870D9A">
        <w:rPr>
          <w:lang w:val="fr-FR"/>
        </w:rPr>
        <w:t>’</w:t>
      </w:r>
      <w:r w:rsidRPr="00870D9A">
        <w:rPr>
          <w:lang w:val="fr-FR"/>
        </w:rPr>
        <w:t xml:space="preserve">État défendeur doit verser </w:t>
      </w:r>
      <w:r w:rsidR="005F347E" w:rsidRPr="00870D9A">
        <w:rPr>
          <w:lang w:val="fr-FR"/>
        </w:rPr>
        <w:t>à la requérante</w:t>
      </w:r>
      <w:r w:rsidRPr="00870D9A">
        <w:rPr>
          <w:lang w:val="fr-FR"/>
        </w:rPr>
        <w:t>, dans les trois mois</w:t>
      </w:r>
      <w:r w:rsidR="008C366F" w:rsidRPr="00870D9A">
        <w:rPr>
          <w:lang w:val="fr-FR"/>
        </w:rPr>
        <w:t xml:space="preserve"> </w:t>
      </w:r>
      <w:r w:rsidR="005F347E" w:rsidRPr="00870D9A">
        <w:rPr>
          <w:lang w:val="fr-FR"/>
        </w:rPr>
        <w:t>à compter du jour où l</w:t>
      </w:r>
      <w:r w:rsidR="00870D9A" w:rsidRPr="00870D9A">
        <w:rPr>
          <w:lang w:val="fr-FR"/>
        </w:rPr>
        <w:t>’</w:t>
      </w:r>
      <w:r w:rsidR="005F347E" w:rsidRPr="00870D9A">
        <w:rPr>
          <w:lang w:val="fr-FR"/>
        </w:rPr>
        <w:t>arrêt sera devenu définitif conformément à l</w:t>
      </w:r>
      <w:r w:rsidR="00870D9A" w:rsidRPr="00870D9A">
        <w:rPr>
          <w:lang w:val="fr-FR"/>
        </w:rPr>
        <w:t>’</w:t>
      </w:r>
      <w:r w:rsidR="005F347E" w:rsidRPr="00870D9A">
        <w:rPr>
          <w:lang w:val="fr-FR"/>
        </w:rPr>
        <w:t>article 44 § 2 de la Convention</w:t>
      </w:r>
      <w:r w:rsidRPr="00870D9A">
        <w:rPr>
          <w:lang w:val="fr-FR"/>
        </w:rPr>
        <w:t>, les sommes suivantes :</w:t>
      </w:r>
    </w:p>
    <w:p w:rsidR="00E77CB3" w:rsidRPr="00870D9A" w:rsidRDefault="00E77CB3" w:rsidP="00870D9A">
      <w:pPr>
        <w:pStyle w:val="JuListi"/>
        <w:rPr>
          <w:lang w:val="fr-FR" w:eastAsia="en-GB"/>
        </w:rPr>
      </w:pPr>
      <w:r w:rsidRPr="00870D9A">
        <w:rPr>
          <w:lang w:val="fr-FR" w:eastAsia="en-GB"/>
        </w:rPr>
        <w:t>i</w:t>
      </w:r>
      <w:r w:rsidR="004763E8" w:rsidRPr="00870D9A">
        <w:rPr>
          <w:lang w:val="fr-FR" w:eastAsia="en-GB"/>
        </w:rPr>
        <w:t>.</w:t>
      </w:r>
      <w:proofErr w:type="gramStart"/>
      <w:r w:rsidRPr="00870D9A">
        <w:rPr>
          <w:lang w:val="fr-FR" w:eastAsia="en-GB"/>
        </w:rPr>
        <w:t>  </w:t>
      </w:r>
      <w:r w:rsidR="0073489A" w:rsidRPr="00870D9A">
        <w:rPr>
          <w:lang w:val="fr-FR" w:eastAsia="en-GB"/>
        </w:rPr>
        <w:t>3</w:t>
      </w:r>
      <w:proofErr w:type="gramEnd"/>
      <w:r w:rsidR="008C366F" w:rsidRPr="00870D9A">
        <w:rPr>
          <w:lang w:val="fr-FR"/>
        </w:rPr>
        <w:t xml:space="preserve"> </w:t>
      </w:r>
      <w:r w:rsidR="0073489A" w:rsidRPr="00870D9A">
        <w:rPr>
          <w:lang w:val="fr-FR"/>
        </w:rPr>
        <w:t>0</w:t>
      </w:r>
      <w:r w:rsidR="008C366F" w:rsidRPr="00870D9A">
        <w:rPr>
          <w:lang w:val="fr-FR"/>
        </w:rPr>
        <w:t>00</w:t>
      </w:r>
      <w:r w:rsidRPr="00870D9A">
        <w:rPr>
          <w:lang w:val="fr-FR" w:eastAsia="en-GB"/>
        </w:rPr>
        <w:t xml:space="preserve"> EUR (</w:t>
      </w:r>
      <w:r w:rsidR="000C2F67" w:rsidRPr="00870D9A">
        <w:rPr>
          <w:lang w:val="fr-FR" w:eastAsia="en-GB"/>
        </w:rPr>
        <w:t>trois mille</w:t>
      </w:r>
      <w:r w:rsidRPr="00870D9A">
        <w:rPr>
          <w:lang w:val="fr-FR" w:eastAsia="en-GB"/>
        </w:rPr>
        <w:t xml:space="preserve"> euros) plus tout montant pouvant être dû à titre d</w:t>
      </w:r>
      <w:r w:rsidR="00870D9A" w:rsidRPr="00870D9A">
        <w:rPr>
          <w:lang w:val="fr-FR" w:eastAsia="en-GB"/>
        </w:rPr>
        <w:t>’</w:t>
      </w:r>
      <w:r w:rsidRPr="00870D9A">
        <w:rPr>
          <w:lang w:val="fr-FR" w:eastAsia="en-GB"/>
        </w:rPr>
        <w:t>impôt, pour dommage moral ;</w:t>
      </w:r>
    </w:p>
    <w:p w:rsidR="00E77CB3" w:rsidRPr="00870D9A" w:rsidRDefault="00E77CB3" w:rsidP="00870D9A">
      <w:pPr>
        <w:pStyle w:val="JuListi"/>
        <w:rPr>
          <w:lang w:val="fr-FR" w:eastAsia="en-GB"/>
        </w:rPr>
      </w:pPr>
      <w:r w:rsidRPr="00870D9A">
        <w:rPr>
          <w:lang w:val="fr-FR" w:eastAsia="en-GB"/>
        </w:rPr>
        <w:t>ii</w:t>
      </w:r>
      <w:r w:rsidR="004763E8" w:rsidRPr="00870D9A">
        <w:rPr>
          <w:lang w:val="fr-FR" w:eastAsia="en-GB"/>
        </w:rPr>
        <w:t>.</w:t>
      </w:r>
      <w:proofErr w:type="gramStart"/>
      <w:r w:rsidRPr="00870D9A">
        <w:rPr>
          <w:lang w:val="fr-FR" w:eastAsia="en-GB"/>
        </w:rPr>
        <w:t>  </w:t>
      </w:r>
      <w:r w:rsidR="0024004B" w:rsidRPr="00870D9A">
        <w:rPr>
          <w:lang w:val="fr-FR" w:eastAsia="en-GB"/>
        </w:rPr>
        <w:t>1</w:t>
      </w:r>
      <w:proofErr w:type="gramEnd"/>
      <w:r w:rsidR="00914B08" w:rsidRPr="00870D9A">
        <w:rPr>
          <w:lang w:val="fr-FR" w:eastAsia="en-GB"/>
        </w:rPr>
        <w:t xml:space="preserve"> </w:t>
      </w:r>
      <w:r w:rsidR="0024004B" w:rsidRPr="00870D9A">
        <w:rPr>
          <w:lang w:val="fr-FR" w:eastAsia="en-GB"/>
        </w:rPr>
        <w:t>5</w:t>
      </w:r>
      <w:r w:rsidR="00914B08" w:rsidRPr="00870D9A">
        <w:rPr>
          <w:lang w:val="fr-FR" w:eastAsia="en-GB"/>
        </w:rPr>
        <w:t>00</w:t>
      </w:r>
      <w:r w:rsidRPr="00870D9A">
        <w:rPr>
          <w:lang w:val="fr-FR" w:eastAsia="en-GB"/>
        </w:rPr>
        <w:t xml:space="preserve"> EUR (</w:t>
      </w:r>
      <w:r w:rsidR="00914B08" w:rsidRPr="00870D9A">
        <w:rPr>
          <w:lang w:val="fr-FR" w:eastAsia="en-GB"/>
        </w:rPr>
        <w:t>mille</w:t>
      </w:r>
      <w:r w:rsidR="0024004B" w:rsidRPr="00870D9A">
        <w:rPr>
          <w:lang w:val="fr-FR" w:eastAsia="en-GB"/>
        </w:rPr>
        <w:t xml:space="preserve"> cinq cent</w:t>
      </w:r>
      <w:r w:rsidR="008B6CE6" w:rsidRPr="00870D9A">
        <w:rPr>
          <w:lang w:val="fr-FR" w:eastAsia="en-GB"/>
        </w:rPr>
        <w:t>s</w:t>
      </w:r>
      <w:r w:rsidRPr="00870D9A">
        <w:rPr>
          <w:lang w:val="fr-FR" w:eastAsia="en-GB"/>
        </w:rPr>
        <w:t xml:space="preserve"> euros), plus tout montant </w:t>
      </w:r>
      <w:r w:rsidR="005E37C6" w:rsidRPr="00870D9A">
        <w:rPr>
          <w:lang w:val="fr-FR" w:eastAsia="en-GB"/>
        </w:rPr>
        <w:t xml:space="preserve">pouvant être dû par </w:t>
      </w:r>
      <w:r w:rsidR="005F347E" w:rsidRPr="00870D9A">
        <w:rPr>
          <w:lang w:val="fr-FR"/>
        </w:rPr>
        <w:t>la requérante</w:t>
      </w:r>
      <w:r w:rsidR="005E37C6" w:rsidRPr="00870D9A">
        <w:rPr>
          <w:lang w:val="fr-FR" w:eastAsia="en-GB"/>
        </w:rPr>
        <w:t xml:space="preserve"> à titre d</w:t>
      </w:r>
      <w:r w:rsidR="00870D9A" w:rsidRPr="00870D9A">
        <w:rPr>
          <w:lang w:val="fr-FR" w:eastAsia="en-GB"/>
        </w:rPr>
        <w:t>’</w:t>
      </w:r>
      <w:r w:rsidR="005E37C6" w:rsidRPr="00870D9A">
        <w:rPr>
          <w:lang w:val="fr-FR" w:eastAsia="en-GB"/>
        </w:rPr>
        <w:t>impôt, pour frais et dépens</w:t>
      </w:r>
      <w:r w:rsidRPr="00870D9A">
        <w:rPr>
          <w:lang w:val="fr-FR" w:eastAsia="en-GB"/>
        </w:rPr>
        <w:t> ;</w:t>
      </w:r>
    </w:p>
    <w:p w:rsidR="003175BA" w:rsidRPr="00870D9A" w:rsidRDefault="00E77CB3" w:rsidP="00870D9A">
      <w:pPr>
        <w:pStyle w:val="JuLista"/>
        <w:rPr>
          <w:lang w:val="fr-FR"/>
        </w:rPr>
      </w:pPr>
      <w:r w:rsidRPr="00870D9A">
        <w:rPr>
          <w:lang w:val="fr-FR"/>
        </w:rPr>
        <w:t>b)  qu</w:t>
      </w:r>
      <w:r w:rsidR="00870D9A" w:rsidRPr="00870D9A">
        <w:rPr>
          <w:lang w:val="fr-FR"/>
        </w:rPr>
        <w:t>’</w:t>
      </w:r>
      <w:r w:rsidRPr="00870D9A">
        <w:rPr>
          <w:lang w:val="fr-FR"/>
        </w:rPr>
        <w:t>à compter de l</w:t>
      </w:r>
      <w:r w:rsidR="00870D9A" w:rsidRPr="00870D9A">
        <w:rPr>
          <w:lang w:val="fr-FR"/>
        </w:rPr>
        <w:t>’</w:t>
      </w:r>
      <w:r w:rsidRPr="00870D9A">
        <w:rPr>
          <w:lang w:val="fr-FR"/>
        </w:rPr>
        <w:t>expiration dudit délai et jusqu</w:t>
      </w:r>
      <w:r w:rsidR="00870D9A" w:rsidRPr="00870D9A">
        <w:rPr>
          <w:lang w:val="fr-FR"/>
        </w:rPr>
        <w:t>’</w:t>
      </w:r>
      <w:r w:rsidRPr="00870D9A">
        <w:rPr>
          <w:lang w:val="fr-FR"/>
        </w:rPr>
        <w:t>au versement, ces montants seront à majorer d</w:t>
      </w:r>
      <w:r w:rsidR="00870D9A" w:rsidRPr="00870D9A">
        <w:rPr>
          <w:lang w:val="fr-FR"/>
        </w:rPr>
        <w:t>’</w:t>
      </w:r>
      <w:r w:rsidRPr="00870D9A">
        <w:rPr>
          <w:lang w:val="fr-FR"/>
        </w:rPr>
        <w:t>un intérêt simple à un taux égal à celui de la facilité de prêt marginal de la Banque centrale européenne applicable pendant cette période, augmenté de trois points de pourcentage ;</w:t>
      </w:r>
    </w:p>
    <w:p w:rsidR="00E77CB3" w:rsidRPr="00870D9A" w:rsidRDefault="00E77CB3" w:rsidP="00870D9A">
      <w:pPr>
        <w:pStyle w:val="JuLista"/>
        <w:rPr>
          <w:lang w:val="fr-FR"/>
        </w:rPr>
      </w:pPr>
    </w:p>
    <w:p w:rsidR="00E77CB3" w:rsidRPr="00870D9A" w:rsidRDefault="008E2B75" w:rsidP="00870D9A">
      <w:pPr>
        <w:pStyle w:val="JuList"/>
        <w:rPr>
          <w:lang w:val="fr-FR"/>
        </w:rPr>
      </w:pPr>
      <w:r w:rsidRPr="00870D9A">
        <w:rPr>
          <w:lang w:val="fr-FR"/>
        </w:rPr>
        <w:t>4</w:t>
      </w:r>
      <w:r w:rsidR="00E77CB3" w:rsidRPr="00870D9A">
        <w:rPr>
          <w:lang w:val="fr-FR"/>
        </w:rPr>
        <w:t>.  </w:t>
      </w:r>
      <w:r w:rsidR="00E77CB3" w:rsidRPr="00870D9A">
        <w:rPr>
          <w:i/>
          <w:lang w:val="fr-FR"/>
        </w:rPr>
        <w:t>Rejette</w:t>
      </w:r>
      <w:r w:rsidR="00E77CB3" w:rsidRPr="00870D9A">
        <w:rPr>
          <w:lang w:val="fr-FR"/>
        </w:rPr>
        <w:t xml:space="preserve"> la demande de satisfaction équitable pour le surplus.</w:t>
      </w:r>
    </w:p>
    <w:p w:rsidR="00E77CB3" w:rsidRPr="00870D9A" w:rsidRDefault="00E77CB3" w:rsidP="00870D9A">
      <w:pPr>
        <w:pStyle w:val="JuParaLast"/>
        <w:keepNext w:val="0"/>
        <w:keepLines w:val="0"/>
        <w:rPr>
          <w:lang w:val="fr-FR"/>
        </w:rPr>
      </w:pPr>
      <w:r w:rsidRPr="00870D9A">
        <w:rPr>
          <w:lang w:val="fr-FR"/>
        </w:rPr>
        <w:t>Fait en français, puis communiqué par écrit le </w:t>
      </w:r>
      <w:r w:rsidR="00782416" w:rsidRPr="00870D9A">
        <w:rPr>
          <w:lang w:val="fr-FR"/>
        </w:rPr>
        <w:t>14 septembre 2017</w:t>
      </w:r>
      <w:r w:rsidRPr="00870D9A">
        <w:rPr>
          <w:lang w:val="fr-FR"/>
        </w:rPr>
        <w:t>, en application de l</w:t>
      </w:r>
      <w:r w:rsidR="00870D9A" w:rsidRPr="00870D9A">
        <w:rPr>
          <w:lang w:val="fr-FR"/>
        </w:rPr>
        <w:t>’</w:t>
      </w:r>
      <w:r w:rsidRPr="00870D9A">
        <w:rPr>
          <w:lang w:val="fr-FR"/>
        </w:rPr>
        <w:t>article 77 §§ 2 et 3 du règlement</w:t>
      </w:r>
      <w:r w:rsidR="00AC0824" w:rsidRPr="00870D9A">
        <w:rPr>
          <w:lang w:val="fr-FR"/>
        </w:rPr>
        <w:t xml:space="preserve"> de la Cour</w:t>
      </w:r>
      <w:r w:rsidRPr="00870D9A">
        <w:rPr>
          <w:lang w:val="fr-FR"/>
        </w:rPr>
        <w:t>.</w:t>
      </w:r>
    </w:p>
    <w:p w:rsidR="00E77CB3" w:rsidRPr="00870D9A" w:rsidRDefault="005F347E" w:rsidP="00870D9A">
      <w:pPr>
        <w:pStyle w:val="JuSigned"/>
        <w:tabs>
          <w:tab w:val="clear" w:pos="6407"/>
          <w:tab w:val="center" w:pos="6096"/>
        </w:tabs>
        <w:rPr>
          <w:lang w:val="fr-FR"/>
        </w:rPr>
      </w:pPr>
      <w:r w:rsidRPr="00870D9A">
        <w:rPr>
          <w:lang w:val="fr-FR"/>
        </w:rPr>
        <w:tab/>
      </w:r>
      <w:r w:rsidR="008E2B75" w:rsidRPr="00870D9A">
        <w:rPr>
          <w:lang w:val="fr-FR"/>
        </w:rPr>
        <w:t xml:space="preserve">Renata </w:t>
      </w:r>
      <w:proofErr w:type="spellStart"/>
      <w:r w:rsidR="008E2B75" w:rsidRPr="00870D9A">
        <w:rPr>
          <w:lang w:val="fr-FR"/>
        </w:rPr>
        <w:t>Degener</w:t>
      </w:r>
      <w:proofErr w:type="spellEnd"/>
      <w:r w:rsidR="00E77CB3" w:rsidRPr="00870D9A">
        <w:rPr>
          <w:lang w:val="fr-FR"/>
        </w:rPr>
        <w:tab/>
      </w:r>
      <w:r w:rsidRPr="00870D9A">
        <w:rPr>
          <w:szCs w:val="24"/>
          <w:lang w:val="fr-FR"/>
        </w:rPr>
        <w:t xml:space="preserve">Linos-Alexandre </w:t>
      </w:r>
      <w:proofErr w:type="spellStart"/>
      <w:r w:rsidRPr="00870D9A">
        <w:rPr>
          <w:szCs w:val="24"/>
          <w:lang w:val="fr-FR"/>
        </w:rPr>
        <w:t>Sicilianos</w:t>
      </w:r>
      <w:proofErr w:type="spellEnd"/>
      <w:r w:rsidR="00E77CB3" w:rsidRPr="00870D9A">
        <w:rPr>
          <w:lang w:val="fr-FR"/>
        </w:rPr>
        <w:br/>
      </w:r>
      <w:r w:rsidR="00E77CB3" w:rsidRPr="00870D9A">
        <w:rPr>
          <w:lang w:val="fr-FR"/>
        </w:rPr>
        <w:tab/>
      </w:r>
      <w:r w:rsidR="008E2B75" w:rsidRPr="00870D9A">
        <w:rPr>
          <w:lang w:val="fr-FR"/>
        </w:rPr>
        <w:t>Greffière adjointe</w:t>
      </w:r>
      <w:r w:rsidR="00E77CB3" w:rsidRPr="00870D9A">
        <w:rPr>
          <w:lang w:val="fr-FR"/>
        </w:rPr>
        <w:tab/>
      </w:r>
      <w:r w:rsidRPr="00870D9A">
        <w:rPr>
          <w:lang w:val="fr-FR"/>
        </w:rPr>
        <w:t>Président</w:t>
      </w:r>
    </w:p>
    <w:p w:rsidR="00782416" w:rsidRPr="00870D9A" w:rsidRDefault="00782416" w:rsidP="00870D9A">
      <w:pPr>
        <w:pStyle w:val="JuParaLast"/>
        <w:rPr>
          <w:lang w:val="fr-FR"/>
        </w:rPr>
      </w:pPr>
      <w:r w:rsidRPr="00870D9A">
        <w:rPr>
          <w:lang w:val="fr-FR"/>
        </w:rPr>
        <w:lastRenderedPageBreak/>
        <w:t>Au présent arrêt se trouve joint, conformément aux articles 45 § 2 de la Convention et 74 § 2 du règlement, l</w:t>
      </w:r>
      <w:r w:rsidR="00870D9A" w:rsidRPr="00870D9A">
        <w:rPr>
          <w:lang w:val="fr-FR"/>
        </w:rPr>
        <w:t>’</w:t>
      </w:r>
      <w:r w:rsidRPr="00870D9A">
        <w:rPr>
          <w:lang w:val="fr-FR"/>
        </w:rPr>
        <w:t>exposé de l</w:t>
      </w:r>
      <w:r w:rsidR="00870D9A" w:rsidRPr="00870D9A">
        <w:rPr>
          <w:lang w:val="fr-FR"/>
        </w:rPr>
        <w:t>’</w:t>
      </w:r>
      <w:r w:rsidR="008B6CE6" w:rsidRPr="00870D9A">
        <w:rPr>
          <w:lang w:val="fr-FR"/>
        </w:rPr>
        <w:t xml:space="preserve">opinion séparée </w:t>
      </w:r>
      <w:r w:rsidRPr="00870D9A">
        <w:rPr>
          <w:lang w:val="fr-FR"/>
        </w:rPr>
        <w:t>du juge </w:t>
      </w:r>
      <w:proofErr w:type="spellStart"/>
      <w:r w:rsidR="008B6CE6" w:rsidRPr="00870D9A">
        <w:rPr>
          <w:lang w:val="fr-FR"/>
        </w:rPr>
        <w:t>Wojtyczek</w:t>
      </w:r>
      <w:proofErr w:type="spellEnd"/>
      <w:r w:rsidRPr="00870D9A">
        <w:rPr>
          <w:lang w:val="fr-FR"/>
        </w:rPr>
        <w:t>.</w:t>
      </w:r>
    </w:p>
    <w:p w:rsidR="004D15F3" w:rsidRPr="00870D9A" w:rsidRDefault="008B6CE6" w:rsidP="00870D9A">
      <w:pPr>
        <w:pStyle w:val="JuInitialled"/>
        <w:rPr>
          <w:lang w:val="fr-FR"/>
        </w:rPr>
      </w:pPr>
      <w:r w:rsidRPr="00870D9A">
        <w:rPr>
          <w:lang w:val="fr-FR"/>
        </w:rPr>
        <w:t>L.A.S</w:t>
      </w:r>
      <w:proofErr w:type="gramStart"/>
      <w:r w:rsidRPr="00870D9A">
        <w:rPr>
          <w:lang w:val="fr-FR"/>
        </w:rPr>
        <w:t>.</w:t>
      </w:r>
      <w:proofErr w:type="gramEnd"/>
      <w:r w:rsidR="00782416" w:rsidRPr="00870D9A">
        <w:rPr>
          <w:lang w:val="fr-FR"/>
        </w:rPr>
        <w:br/>
      </w:r>
      <w:r w:rsidRPr="00870D9A">
        <w:rPr>
          <w:lang w:val="fr-FR"/>
        </w:rPr>
        <w:t>R.</w:t>
      </w:r>
      <w:r w:rsidR="00405A94" w:rsidRPr="00870D9A">
        <w:rPr>
          <w:lang w:val="fr-FR"/>
        </w:rPr>
        <w:t>D</w:t>
      </w:r>
      <w:r w:rsidRPr="00870D9A">
        <w:rPr>
          <w:lang w:val="fr-FR"/>
        </w:rPr>
        <w:t>.</w:t>
      </w:r>
    </w:p>
    <w:p w:rsidR="00EB2D88" w:rsidRPr="00870D9A" w:rsidRDefault="00EB2D88" w:rsidP="00870D9A">
      <w:pPr>
        <w:pStyle w:val="ECHRTitleCentre1"/>
        <w:rPr>
          <w:lang w:val="fr-FR"/>
        </w:rPr>
        <w:sectPr w:rsidR="00EB2D88" w:rsidRPr="00870D9A" w:rsidSect="00782416">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pPr>
    </w:p>
    <w:p w:rsidR="00CD1F75" w:rsidRPr="00870D9A" w:rsidRDefault="00CD1F75" w:rsidP="00870D9A">
      <w:pPr>
        <w:pStyle w:val="ECHRTitleCentre1"/>
        <w:rPr>
          <w:lang w:val="fr-FR"/>
        </w:rPr>
      </w:pPr>
      <w:r w:rsidRPr="00870D9A">
        <w:rPr>
          <w:lang w:val="fr-FR"/>
        </w:rPr>
        <w:lastRenderedPageBreak/>
        <w:t>OPINION CONCORDANTE D</w:t>
      </w:r>
      <w:r w:rsidR="00E71CB3" w:rsidRPr="00870D9A">
        <w:rPr>
          <w:lang w:val="fr-FR"/>
        </w:rPr>
        <w:t>U</w:t>
      </w:r>
      <w:r w:rsidR="004A66D2" w:rsidRPr="00870D9A">
        <w:rPr>
          <w:lang w:val="fr-FR"/>
        </w:rPr>
        <w:t xml:space="preserve"> </w:t>
      </w:r>
      <w:r w:rsidRPr="00870D9A">
        <w:rPr>
          <w:lang w:val="fr-FR"/>
        </w:rPr>
        <w:t>JUGE WOJTYCZEK</w:t>
      </w:r>
    </w:p>
    <w:p w:rsidR="00CD1F75" w:rsidRPr="00870D9A" w:rsidRDefault="00CD1F75" w:rsidP="00870D9A">
      <w:pPr>
        <w:pStyle w:val="OpiPara"/>
        <w:rPr>
          <w:lang w:val="fr-FR"/>
        </w:rPr>
      </w:pPr>
      <w:r w:rsidRPr="00870D9A">
        <w:rPr>
          <w:lang w:val="fr-FR"/>
        </w:rPr>
        <w:t>1.</w:t>
      </w:r>
      <w:r w:rsidR="00F22668" w:rsidRPr="00870D9A">
        <w:rPr>
          <w:lang w:val="fr-FR"/>
        </w:rPr>
        <w:t>  </w:t>
      </w:r>
      <w:r w:rsidRPr="00870D9A">
        <w:rPr>
          <w:lang w:val="fr-FR"/>
        </w:rPr>
        <w:t>Je suis d</w:t>
      </w:r>
      <w:r w:rsidR="00870D9A" w:rsidRPr="00870D9A">
        <w:rPr>
          <w:lang w:val="fr-FR"/>
        </w:rPr>
        <w:t>’</w:t>
      </w:r>
      <w:r w:rsidRPr="00870D9A">
        <w:rPr>
          <w:lang w:val="fr-FR"/>
        </w:rPr>
        <w:t>accord avec mes collègues pour dire que l</w:t>
      </w:r>
      <w:r w:rsidR="00870D9A" w:rsidRPr="00870D9A">
        <w:rPr>
          <w:lang w:val="fr-FR"/>
        </w:rPr>
        <w:t>’</w:t>
      </w:r>
      <w:r w:rsidRPr="00870D9A">
        <w:rPr>
          <w:lang w:val="fr-FR"/>
        </w:rPr>
        <w:t>article 6 de la Convention a été violé en ce qui concerne le droit à un procès dans un délai raisonnable ; j</w:t>
      </w:r>
      <w:r w:rsidR="00870D9A" w:rsidRPr="00870D9A">
        <w:rPr>
          <w:lang w:val="fr-FR"/>
        </w:rPr>
        <w:t>’</w:t>
      </w:r>
      <w:r w:rsidRPr="00870D9A">
        <w:rPr>
          <w:lang w:val="fr-FR"/>
        </w:rPr>
        <w:t>ai toutefois des réserves quant à la motivation de l</w:t>
      </w:r>
      <w:r w:rsidR="00870D9A" w:rsidRPr="00870D9A">
        <w:rPr>
          <w:lang w:val="fr-FR"/>
        </w:rPr>
        <w:t>’</w:t>
      </w:r>
      <w:r w:rsidRPr="00870D9A">
        <w:rPr>
          <w:lang w:val="fr-FR"/>
        </w:rPr>
        <w:t>arrêt, telle que figurant notamment au paragraphe 57.</w:t>
      </w:r>
    </w:p>
    <w:p w:rsidR="00CD1F75" w:rsidRPr="00870D9A" w:rsidRDefault="00CD1F75" w:rsidP="00870D9A">
      <w:pPr>
        <w:pStyle w:val="OpiPara"/>
        <w:rPr>
          <w:lang w:val="fr-FR"/>
        </w:rPr>
      </w:pPr>
      <w:r w:rsidRPr="00870D9A">
        <w:rPr>
          <w:lang w:val="fr-FR"/>
        </w:rPr>
        <w:t>2.</w:t>
      </w:r>
      <w:r w:rsidR="00F22668" w:rsidRPr="00870D9A">
        <w:rPr>
          <w:lang w:val="fr-FR"/>
        </w:rPr>
        <w:t>  </w:t>
      </w:r>
      <w:r w:rsidRPr="00870D9A">
        <w:rPr>
          <w:lang w:val="fr-FR"/>
        </w:rPr>
        <w:t>Dans la présente affaire, la procédure s</w:t>
      </w:r>
      <w:r w:rsidR="00870D9A" w:rsidRPr="00870D9A">
        <w:rPr>
          <w:lang w:val="fr-FR"/>
        </w:rPr>
        <w:t>’</w:t>
      </w:r>
      <w:r w:rsidRPr="00870D9A">
        <w:rPr>
          <w:lang w:val="fr-FR"/>
        </w:rPr>
        <w:t>est déroulée du 21 octobre 1994 au 27 mars 1998, puis elle a été reprise le 10 mars 1999 pour être clôturée le 25 janvier 2005 (paragraphe 53 de l</w:t>
      </w:r>
      <w:r w:rsidR="00870D9A" w:rsidRPr="00870D9A">
        <w:rPr>
          <w:lang w:val="fr-FR"/>
        </w:rPr>
        <w:t>’</w:t>
      </w:r>
      <w:r w:rsidRPr="00870D9A">
        <w:rPr>
          <w:lang w:val="fr-FR"/>
        </w:rPr>
        <w:t>arrêt). Dans de telles circonstances, le gouvernement défendeur était tenu de justifier la durée de la procédure par des raisons pertinentes. Il ne l</w:t>
      </w:r>
      <w:r w:rsidR="00870D9A" w:rsidRPr="00870D9A">
        <w:rPr>
          <w:lang w:val="fr-FR"/>
        </w:rPr>
        <w:t>’</w:t>
      </w:r>
      <w:r w:rsidRPr="00870D9A">
        <w:rPr>
          <w:lang w:val="fr-FR"/>
        </w:rPr>
        <w:t>a pas fait. Ces circonstances sont suffisantes pour conclure à une violation de l</w:t>
      </w:r>
      <w:r w:rsidR="00870D9A" w:rsidRPr="00870D9A">
        <w:rPr>
          <w:lang w:val="fr-FR"/>
        </w:rPr>
        <w:t>’</w:t>
      </w:r>
      <w:r w:rsidRPr="00870D9A">
        <w:rPr>
          <w:lang w:val="fr-FR"/>
        </w:rPr>
        <w:t>article 6 de la Convention.</w:t>
      </w:r>
    </w:p>
    <w:p w:rsidR="00CD1F75" w:rsidRPr="00870D9A" w:rsidRDefault="00CD1F75" w:rsidP="00870D9A">
      <w:pPr>
        <w:pStyle w:val="OpiPara"/>
        <w:rPr>
          <w:lang w:val="fr-FR"/>
        </w:rPr>
      </w:pPr>
      <w:proofErr w:type="gramStart"/>
      <w:r w:rsidRPr="00870D9A">
        <w:rPr>
          <w:lang w:val="fr-FR"/>
        </w:rPr>
        <w:t>3.</w:t>
      </w:r>
      <w:r w:rsidR="00F22668" w:rsidRPr="00870D9A">
        <w:rPr>
          <w:lang w:val="fr-FR"/>
        </w:rPr>
        <w:t>  </w:t>
      </w:r>
      <w:r w:rsidRPr="00870D9A">
        <w:rPr>
          <w:lang w:val="fr-FR"/>
        </w:rPr>
        <w:t>Au paragraphe 57 de l</w:t>
      </w:r>
      <w:r w:rsidR="00870D9A" w:rsidRPr="00870D9A">
        <w:rPr>
          <w:lang w:val="fr-FR"/>
        </w:rPr>
        <w:t>’</w:t>
      </w:r>
      <w:r w:rsidRPr="00870D9A">
        <w:rPr>
          <w:lang w:val="fr-FR"/>
        </w:rPr>
        <w:t>arrêt, la Cour affirme ceci : « En conclusion, la Cour rappelle avoir traité à maintes reprises des requêtes soulevant des questions similaires en matière de durée de la procédure et a constaté une méconnaissance de l</w:t>
      </w:r>
      <w:r w:rsidR="00870D9A" w:rsidRPr="00870D9A">
        <w:rPr>
          <w:lang w:val="fr-FR"/>
        </w:rPr>
        <w:t>’</w:t>
      </w:r>
      <w:r w:rsidRPr="00870D9A">
        <w:rPr>
          <w:lang w:val="fr-FR"/>
        </w:rPr>
        <w:t>exigence du « délai raisonnable », en s</w:t>
      </w:r>
      <w:r w:rsidR="00870D9A" w:rsidRPr="00870D9A">
        <w:rPr>
          <w:lang w:val="fr-FR"/>
        </w:rPr>
        <w:t>’</w:t>
      </w:r>
      <w:r w:rsidRPr="00870D9A">
        <w:rPr>
          <w:lang w:val="fr-FR"/>
        </w:rPr>
        <w:t>appuyant sur des critères dégagés par sa jurisprudence bien établie en la matière (voir, parmi beaucoup d</w:t>
      </w:r>
      <w:r w:rsidR="00870D9A" w:rsidRPr="00870D9A">
        <w:rPr>
          <w:lang w:val="fr-FR"/>
        </w:rPr>
        <w:t>’</w:t>
      </w:r>
      <w:r w:rsidRPr="00870D9A">
        <w:rPr>
          <w:lang w:val="fr-FR"/>
        </w:rPr>
        <w:t xml:space="preserve">autres précédents, </w:t>
      </w:r>
      <w:proofErr w:type="spellStart"/>
      <w:r w:rsidRPr="00870D9A">
        <w:rPr>
          <w:i/>
          <w:lang w:val="fr-FR"/>
        </w:rPr>
        <w:t>Cocchiarella</w:t>
      </w:r>
      <w:proofErr w:type="spellEnd"/>
      <w:r w:rsidRPr="00870D9A">
        <w:rPr>
          <w:lang w:val="fr-FR"/>
        </w:rPr>
        <w:t xml:space="preserve">, précité, avec les références à </w:t>
      </w:r>
      <w:proofErr w:type="spellStart"/>
      <w:r w:rsidRPr="00870D9A">
        <w:rPr>
          <w:i/>
          <w:lang w:val="fr-FR"/>
        </w:rPr>
        <w:t>Bottazzi</w:t>
      </w:r>
      <w:proofErr w:type="spellEnd"/>
      <w:r w:rsidRPr="00870D9A">
        <w:rPr>
          <w:i/>
          <w:lang w:val="fr-FR"/>
        </w:rPr>
        <w:t xml:space="preserve"> c. Italie</w:t>
      </w:r>
      <w:r w:rsidRPr="00870D9A">
        <w:rPr>
          <w:lang w:val="fr-FR"/>
        </w:rPr>
        <w:t xml:space="preserve"> [GC], n</w:t>
      </w:r>
      <w:r w:rsidRPr="00870D9A">
        <w:rPr>
          <w:vertAlign w:val="superscript"/>
          <w:lang w:val="fr-FR"/>
        </w:rPr>
        <w:t>o</w:t>
      </w:r>
      <w:r w:rsidRPr="00870D9A">
        <w:rPr>
          <w:lang w:val="fr-FR"/>
        </w:rPr>
        <w:t xml:space="preserve">  34884/97, § 22, CEDH 1999-V, </w:t>
      </w:r>
      <w:r w:rsidRPr="00870D9A">
        <w:rPr>
          <w:i/>
          <w:lang w:val="fr-FR"/>
        </w:rPr>
        <w:t xml:space="preserve">Di Mauro c. Italie </w:t>
      </w:r>
      <w:r w:rsidRPr="00870D9A">
        <w:rPr>
          <w:lang w:val="fr-FR"/>
        </w:rPr>
        <w:t>[GC], n</w:t>
      </w:r>
      <w:r w:rsidRPr="00870D9A">
        <w:rPr>
          <w:vertAlign w:val="superscript"/>
          <w:lang w:val="fr-FR"/>
        </w:rPr>
        <w:t>o</w:t>
      </w:r>
      <w:r w:rsidRPr="00870D9A">
        <w:rPr>
          <w:lang w:val="fr-FR"/>
        </w:rPr>
        <w:t xml:space="preserve"> 34256/96, §23, CEDH 1999-V, </w:t>
      </w:r>
      <w:r w:rsidRPr="00870D9A">
        <w:rPr>
          <w:i/>
          <w:lang w:val="fr-FR"/>
        </w:rPr>
        <w:t>Ferrari c. Italie</w:t>
      </w:r>
      <w:r w:rsidRPr="00870D9A">
        <w:rPr>
          <w:lang w:val="fr-FR"/>
        </w:rPr>
        <w:t xml:space="preserve"> [GC], n</w:t>
      </w:r>
      <w:r w:rsidRPr="00870D9A">
        <w:rPr>
          <w:vertAlign w:val="superscript"/>
          <w:lang w:val="fr-FR"/>
        </w:rPr>
        <w:t>o</w:t>
      </w:r>
      <w:r w:rsidRPr="00870D9A">
        <w:rPr>
          <w:lang w:val="fr-FR"/>
        </w:rPr>
        <w:t xml:space="preserve"> 33440/96, § 21, 28 juillet 1999, et </w:t>
      </w:r>
      <w:r w:rsidRPr="00870D9A">
        <w:rPr>
          <w:i/>
          <w:lang w:val="fr-FR"/>
        </w:rPr>
        <w:t>A.P. c. Italie</w:t>
      </w:r>
      <w:r w:rsidRPr="00870D9A">
        <w:rPr>
          <w:lang w:val="fr-FR"/>
        </w:rPr>
        <w:t xml:space="preserve"> [GC], n</w:t>
      </w:r>
      <w:r w:rsidRPr="00870D9A">
        <w:rPr>
          <w:vertAlign w:val="superscript"/>
          <w:lang w:val="fr-FR"/>
        </w:rPr>
        <w:t>o</w:t>
      </w:r>
      <w:r w:rsidR="00E31D3D" w:rsidRPr="00870D9A">
        <w:rPr>
          <w:lang w:val="fr-FR"/>
        </w:rPr>
        <w:t xml:space="preserve"> 35265/97, § </w:t>
      </w:r>
      <w:r w:rsidRPr="00870D9A">
        <w:rPr>
          <w:lang w:val="fr-FR"/>
        </w:rPr>
        <w:t>18, 28 juillet 1999). »</w:t>
      </w:r>
      <w:proofErr w:type="gramEnd"/>
    </w:p>
    <w:p w:rsidR="00CD1F75" w:rsidRPr="00870D9A" w:rsidRDefault="00CD1F75" w:rsidP="00870D9A">
      <w:pPr>
        <w:pStyle w:val="OpiPara"/>
        <w:rPr>
          <w:lang w:val="fr-FR"/>
        </w:rPr>
      </w:pPr>
      <w:r w:rsidRPr="00870D9A">
        <w:rPr>
          <w:lang w:val="fr-FR"/>
        </w:rPr>
        <w:t>4.</w:t>
      </w:r>
      <w:r w:rsidR="00F22668" w:rsidRPr="00870D9A">
        <w:rPr>
          <w:lang w:val="fr-FR"/>
        </w:rPr>
        <w:t>  </w:t>
      </w:r>
      <w:r w:rsidRPr="00870D9A">
        <w:rPr>
          <w:lang w:val="fr-FR"/>
        </w:rPr>
        <w:t>Cette affirmation soulève plusieurs interrogations. Premièrement, si l</w:t>
      </w:r>
      <w:r w:rsidR="00870D9A" w:rsidRPr="00870D9A">
        <w:rPr>
          <w:lang w:val="fr-FR"/>
        </w:rPr>
        <w:t>’</w:t>
      </w:r>
      <w:r w:rsidRPr="00870D9A">
        <w:rPr>
          <w:lang w:val="fr-FR"/>
        </w:rPr>
        <w:t>on se réfère à des « questions similaires en matière de durée de la procédure », il convient d</w:t>
      </w:r>
      <w:r w:rsidR="00870D9A" w:rsidRPr="00870D9A">
        <w:rPr>
          <w:lang w:val="fr-FR"/>
        </w:rPr>
        <w:t>’</w:t>
      </w:r>
      <w:r w:rsidRPr="00870D9A">
        <w:rPr>
          <w:lang w:val="fr-FR"/>
        </w:rPr>
        <w:t>expliquer en quoi cette similarité consiste. Quels sont les critères pertinents pour établir des similarités entre des affaires ?</w:t>
      </w:r>
    </w:p>
    <w:p w:rsidR="00CD1F75" w:rsidRPr="00870D9A" w:rsidRDefault="00CD1F75" w:rsidP="00870D9A">
      <w:pPr>
        <w:pStyle w:val="OpiPara"/>
        <w:rPr>
          <w:lang w:val="fr-FR"/>
        </w:rPr>
      </w:pPr>
      <w:r w:rsidRPr="00870D9A">
        <w:rPr>
          <w:lang w:val="fr-FR"/>
        </w:rPr>
        <w:t>Deuxièmement, la Cour se réfère, au paragraphe 57 susmentionné, à l</w:t>
      </w:r>
      <w:r w:rsidR="00870D9A" w:rsidRPr="00870D9A">
        <w:rPr>
          <w:lang w:val="fr-FR"/>
        </w:rPr>
        <w:t>’</w:t>
      </w:r>
      <w:r w:rsidRPr="00870D9A">
        <w:rPr>
          <w:lang w:val="fr-FR"/>
        </w:rPr>
        <w:t xml:space="preserve">affaire </w:t>
      </w:r>
      <w:proofErr w:type="spellStart"/>
      <w:r w:rsidRPr="00870D9A">
        <w:rPr>
          <w:i/>
          <w:lang w:val="fr-FR"/>
        </w:rPr>
        <w:t>Cocchiarella</w:t>
      </w:r>
      <w:proofErr w:type="spellEnd"/>
      <w:r w:rsidRPr="00870D9A">
        <w:rPr>
          <w:lang w:val="fr-FR"/>
        </w:rPr>
        <w:t>. Dans l</w:t>
      </w:r>
      <w:r w:rsidR="00870D9A" w:rsidRPr="00870D9A">
        <w:rPr>
          <w:lang w:val="fr-FR"/>
        </w:rPr>
        <w:t>’</w:t>
      </w:r>
      <w:r w:rsidRPr="00870D9A">
        <w:rPr>
          <w:lang w:val="fr-FR"/>
        </w:rPr>
        <w:t>arrêt rendu en cette affaire, la Cour a expliqué, dans le contexte de l</w:t>
      </w:r>
      <w:r w:rsidR="00870D9A" w:rsidRPr="00870D9A">
        <w:rPr>
          <w:lang w:val="fr-FR"/>
        </w:rPr>
        <w:t>’</w:t>
      </w:r>
      <w:r w:rsidRPr="00870D9A">
        <w:rPr>
          <w:lang w:val="fr-FR"/>
        </w:rPr>
        <w:t>évaluation du dommage moral, ce qui suit : « pour répondre aux gouvernements, la Cour indique avant tout que par « affaires similaires » elle entend deux procédures ayant duré le même nombre d</w:t>
      </w:r>
      <w:r w:rsidR="00870D9A" w:rsidRPr="00870D9A">
        <w:rPr>
          <w:lang w:val="fr-FR"/>
        </w:rPr>
        <w:t>’</w:t>
      </w:r>
      <w:r w:rsidRPr="00870D9A">
        <w:rPr>
          <w:lang w:val="fr-FR"/>
        </w:rPr>
        <w:t>années, pour un nombre d</w:t>
      </w:r>
      <w:r w:rsidR="00870D9A" w:rsidRPr="00870D9A">
        <w:rPr>
          <w:lang w:val="fr-FR"/>
        </w:rPr>
        <w:t>’</w:t>
      </w:r>
      <w:r w:rsidRPr="00870D9A">
        <w:rPr>
          <w:lang w:val="fr-FR"/>
        </w:rPr>
        <w:t>instances identique, avec un enjeu d</w:t>
      </w:r>
      <w:r w:rsidR="00870D9A" w:rsidRPr="00870D9A">
        <w:rPr>
          <w:lang w:val="fr-FR"/>
        </w:rPr>
        <w:t>’</w:t>
      </w:r>
      <w:r w:rsidRPr="00870D9A">
        <w:rPr>
          <w:lang w:val="fr-FR"/>
        </w:rPr>
        <w:t>importance équivalente, un comportement des parties requérantes, sensiblement le même, dans le même pays »</w:t>
      </w:r>
      <w:r w:rsidR="00C2170F" w:rsidRPr="00870D9A">
        <w:rPr>
          <w:lang w:val="fr-FR"/>
        </w:rPr>
        <w:t xml:space="preserve"> </w:t>
      </w:r>
      <w:r w:rsidRPr="00870D9A">
        <w:rPr>
          <w:lang w:val="fr-FR"/>
        </w:rPr>
        <w:t>(paragraphe 138). La motivation du présent arrêt se réfère-t-elle à ces critères ou bien à d</w:t>
      </w:r>
      <w:r w:rsidR="00870D9A" w:rsidRPr="00870D9A">
        <w:rPr>
          <w:lang w:val="fr-FR"/>
        </w:rPr>
        <w:t>’</w:t>
      </w:r>
      <w:r w:rsidRPr="00870D9A">
        <w:rPr>
          <w:lang w:val="fr-FR"/>
        </w:rPr>
        <w:t>autres critères ?</w:t>
      </w:r>
    </w:p>
    <w:p w:rsidR="00CD1F75" w:rsidRPr="00870D9A" w:rsidRDefault="00CD1F75" w:rsidP="00870D9A">
      <w:pPr>
        <w:pStyle w:val="OpiPara"/>
        <w:rPr>
          <w:lang w:val="fr-FR"/>
        </w:rPr>
      </w:pPr>
      <w:r w:rsidRPr="00870D9A">
        <w:rPr>
          <w:lang w:val="fr-FR"/>
        </w:rPr>
        <w:t>Troisièmement, au paragraphe 57 du présent arrêt, la Cour mentionne « des critères dégagés par sa jurisprudence bien établie en la matière » et elle cite un certain nombre de références. J</w:t>
      </w:r>
      <w:r w:rsidR="00870D9A" w:rsidRPr="00870D9A">
        <w:rPr>
          <w:lang w:val="fr-FR"/>
        </w:rPr>
        <w:t>’</w:t>
      </w:r>
      <w:r w:rsidRPr="00870D9A">
        <w:rPr>
          <w:lang w:val="fr-FR"/>
        </w:rPr>
        <w:t>observe dans ce contexte que, dans l</w:t>
      </w:r>
      <w:r w:rsidR="00870D9A" w:rsidRPr="00870D9A">
        <w:rPr>
          <w:lang w:val="fr-FR"/>
        </w:rPr>
        <w:t>’</w:t>
      </w:r>
      <w:r w:rsidRPr="00870D9A">
        <w:rPr>
          <w:lang w:val="fr-FR"/>
        </w:rPr>
        <w:t xml:space="preserve">affaire </w:t>
      </w:r>
      <w:proofErr w:type="spellStart"/>
      <w:r w:rsidRPr="00870D9A">
        <w:rPr>
          <w:i/>
          <w:lang w:val="fr-FR"/>
        </w:rPr>
        <w:t>Cocchiarella</w:t>
      </w:r>
      <w:proofErr w:type="spellEnd"/>
      <w:r w:rsidRPr="00870D9A">
        <w:rPr>
          <w:lang w:val="fr-FR"/>
        </w:rPr>
        <w:t>,</w:t>
      </w:r>
      <w:r w:rsidR="00C2170F" w:rsidRPr="00870D9A">
        <w:rPr>
          <w:lang w:val="fr-FR"/>
        </w:rPr>
        <w:t xml:space="preserve"> </w:t>
      </w:r>
      <w:r w:rsidRPr="00870D9A">
        <w:rPr>
          <w:lang w:val="fr-FR"/>
        </w:rPr>
        <w:t>la Cour a formulé des critères pour calculer la durée totale de la procédure en cas d</w:t>
      </w:r>
      <w:r w:rsidR="00870D9A" w:rsidRPr="00870D9A">
        <w:rPr>
          <w:lang w:val="fr-FR"/>
        </w:rPr>
        <w:t>’</w:t>
      </w:r>
      <w:r w:rsidRPr="00870D9A">
        <w:rPr>
          <w:lang w:val="fr-FR"/>
        </w:rPr>
        <w:t>intervention d</w:t>
      </w:r>
      <w:r w:rsidR="00870D9A" w:rsidRPr="00870D9A">
        <w:rPr>
          <w:lang w:val="fr-FR"/>
        </w:rPr>
        <w:t>’</w:t>
      </w:r>
      <w:r w:rsidRPr="00870D9A">
        <w:rPr>
          <w:lang w:val="fr-FR"/>
        </w:rPr>
        <w:t>un tiers mais non pas pour apprécier le caractère excessif de celle-ci, se contentant de se référer à sa jurisprudence antérieure sans plus d</w:t>
      </w:r>
      <w:r w:rsidR="00870D9A" w:rsidRPr="00870D9A">
        <w:rPr>
          <w:lang w:val="fr-FR"/>
        </w:rPr>
        <w:t>’</w:t>
      </w:r>
      <w:r w:rsidRPr="00870D9A">
        <w:rPr>
          <w:lang w:val="fr-FR"/>
        </w:rPr>
        <w:t xml:space="preserve">explications. De plus, les </w:t>
      </w:r>
      <w:r w:rsidRPr="00870D9A">
        <w:rPr>
          <w:lang w:val="fr-FR"/>
        </w:rPr>
        <w:lastRenderedPageBreak/>
        <w:t>paragraphes des quatre autres arrêts cités en référence n</w:t>
      </w:r>
      <w:r w:rsidR="00870D9A" w:rsidRPr="00870D9A">
        <w:rPr>
          <w:lang w:val="fr-FR"/>
        </w:rPr>
        <w:t>’</w:t>
      </w:r>
      <w:r w:rsidRPr="00870D9A">
        <w:rPr>
          <w:lang w:val="fr-FR"/>
        </w:rPr>
        <w:t>énoncent aucun critère pour constater une méconnaissance de l</w:t>
      </w:r>
      <w:r w:rsidR="00870D9A" w:rsidRPr="00870D9A">
        <w:rPr>
          <w:lang w:val="fr-FR"/>
        </w:rPr>
        <w:t>’</w:t>
      </w:r>
      <w:r w:rsidRPr="00870D9A">
        <w:rPr>
          <w:lang w:val="fr-FR"/>
        </w:rPr>
        <w:t>exigence du « délai raisonnable ». Dans ce contexte, la référence à l</w:t>
      </w:r>
      <w:r w:rsidR="00870D9A" w:rsidRPr="00870D9A">
        <w:rPr>
          <w:lang w:val="fr-FR"/>
        </w:rPr>
        <w:t>’</w:t>
      </w:r>
      <w:r w:rsidRPr="00870D9A">
        <w:rPr>
          <w:lang w:val="fr-FR"/>
        </w:rPr>
        <w:t xml:space="preserve">arrêt </w:t>
      </w:r>
      <w:proofErr w:type="spellStart"/>
      <w:r w:rsidRPr="00870D9A">
        <w:rPr>
          <w:i/>
          <w:lang w:val="fr-FR"/>
        </w:rPr>
        <w:t>Cocchiarella</w:t>
      </w:r>
      <w:proofErr w:type="spellEnd"/>
      <w:r w:rsidRPr="00870D9A">
        <w:rPr>
          <w:lang w:val="fr-FR"/>
        </w:rPr>
        <w:t xml:space="preserve"> et aux quatre autres arrêts, présentés comme sources de « critères dégagés par la jurisprudence bien établie », semble être erronée. Il serait ainsi souhaitable soit de rappeler ici les critères auxquels l</w:t>
      </w:r>
      <w:r w:rsidR="00870D9A" w:rsidRPr="00870D9A">
        <w:rPr>
          <w:lang w:val="fr-FR"/>
        </w:rPr>
        <w:t>’</w:t>
      </w:r>
      <w:r w:rsidRPr="00870D9A">
        <w:rPr>
          <w:lang w:val="fr-FR"/>
        </w:rPr>
        <w:t>on renvoie soit de donner les références d</w:t>
      </w:r>
      <w:r w:rsidR="00870D9A" w:rsidRPr="00870D9A">
        <w:rPr>
          <w:lang w:val="fr-FR"/>
        </w:rPr>
        <w:t>’</w:t>
      </w:r>
      <w:r w:rsidRPr="00870D9A">
        <w:rPr>
          <w:lang w:val="fr-FR"/>
        </w:rPr>
        <w:t>un arrêt qui les pose.</w:t>
      </w:r>
    </w:p>
    <w:p w:rsidR="00CD1F75" w:rsidRPr="00870D9A" w:rsidRDefault="00CD1F75" w:rsidP="00870D9A">
      <w:pPr>
        <w:pStyle w:val="OpiPara"/>
        <w:rPr>
          <w:lang w:val="fr-FR"/>
        </w:rPr>
      </w:pPr>
      <w:r w:rsidRPr="00870D9A">
        <w:rPr>
          <w:lang w:val="fr-FR"/>
        </w:rPr>
        <w:t>Quatrièmement, l</w:t>
      </w:r>
      <w:r w:rsidR="00870D9A" w:rsidRPr="00870D9A">
        <w:rPr>
          <w:lang w:val="fr-FR"/>
        </w:rPr>
        <w:t>’</w:t>
      </w:r>
      <w:r w:rsidRPr="00870D9A">
        <w:rPr>
          <w:lang w:val="fr-FR"/>
        </w:rPr>
        <w:t xml:space="preserve">argument </w:t>
      </w:r>
      <w:r w:rsidRPr="00870D9A">
        <w:rPr>
          <w:i/>
          <w:lang w:val="fr-FR"/>
        </w:rPr>
        <w:t xml:space="preserve">a </w:t>
      </w:r>
      <w:proofErr w:type="spellStart"/>
      <w:r w:rsidRPr="00870D9A">
        <w:rPr>
          <w:i/>
          <w:lang w:val="fr-FR"/>
        </w:rPr>
        <w:t>simile</w:t>
      </w:r>
      <w:proofErr w:type="spellEnd"/>
      <w:r w:rsidRPr="00870D9A">
        <w:rPr>
          <w:lang w:val="fr-FR"/>
        </w:rPr>
        <w:t xml:space="preserve"> dans les affaires portant sur la durée de la procédure doit être utilisé avec beaucoup de précautions car, dans la pratique, malgré certaines apparences, les procédures judiciaires menées dans des affaires concrètes sont très différentes, en particulier en ce qui concerne le degré de complexité des problèmes légaux, l</w:t>
      </w:r>
      <w:r w:rsidR="00870D9A" w:rsidRPr="00870D9A">
        <w:rPr>
          <w:lang w:val="fr-FR"/>
        </w:rPr>
        <w:t>’</w:t>
      </w:r>
      <w:r w:rsidRPr="00870D9A">
        <w:rPr>
          <w:lang w:val="fr-FR"/>
        </w:rPr>
        <w:t>établissement des faits, le comportement des parties et le déroulement des instances. Il est rare que deux causes soient vraiment similaires. Dans ces circonstances, l</w:t>
      </w:r>
      <w:r w:rsidR="00870D9A" w:rsidRPr="00870D9A">
        <w:rPr>
          <w:lang w:val="fr-FR"/>
        </w:rPr>
        <w:t>’</w:t>
      </w:r>
      <w:proofErr w:type="spellStart"/>
      <w:r w:rsidRPr="00870D9A">
        <w:rPr>
          <w:i/>
          <w:lang w:val="fr-FR"/>
        </w:rPr>
        <w:t>argumentum</w:t>
      </w:r>
      <w:proofErr w:type="spellEnd"/>
      <w:r w:rsidRPr="00870D9A">
        <w:rPr>
          <w:i/>
          <w:lang w:val="fr-FR"/>
        </w:rPr>
        <w:t xml:space="preserve"> </w:t>
      </w:r>
      <w:proofErr w:type="gramStart"/>
      <w:r w:rsidRPr="00870D9A">
        <w:rPr>
          <w:i/>
          <w:lang w:val="fr-FR"/>
        </w:rPr>
        <w:t>a</w:t>
      </w:r>
      <w:proofErr w:type="gramEnd"/>
      <w:r w:rsidRPr="00870D9A">
        <w:rPr>
          <w:i/>
          <w:lang w:val="fr-FR"/>
        </w:rPr>
        <w:t xml:space="preserve"> </w:t>
      </w:r>
      <w:proofErr w:type="spellStart"/>
      <w:r w:rsidRPr="00870D9A">
        <w:rPr>
          <w:i/>
          <w:lang w:val="fr-FR"/>
        </w:rPr>
        <w:t>simile</w:t>
      </w:r>
      <w:proofErr w:type="spellEnd"/>
      <w:r w:rsidRPr="00870D9A">
        <w:rPr>
          <w:lang w:val="fr-FR"/>
        </w:rPr>
        <w:t>,</w:t>
      </w:r>
      <w:r w:rsidRPr="00870D9A">
        <w:rPr>
          <w:i/>
          <w:lang w:val="fr-FR"/>
        </w:rPr>
        <w:t xml:space="preserve"> </w:t>
      </w:r>
      <w:r w:rsidRPr="00870D9A">
        <w:rPr>
          <w:lang w:val="fr-FR"/>
        </w:rPr>
        <w:t>utilisé sans d</w:t>
      </w:r>
      <w:r w:rsidR="00870D9A" w:rsidRPr="00870D9A">
        <w:rPr>
          <w:lang w:val="fr-FR"/>
        </w:rPr>
        <w:t>’</w:t>
      </w:r>
      <w:r w:rsidRPr="00870D9A">
        <w:rPr>
          <w:lang w:val="fr-FR"/>
        </w:rPr>
        <w:t>autres explications, tend non pas à renforcer mais à affaiblir considérablement la force de persuasion de la motivation de l</w:t>
      </w:r>
      <w:r w:rsidR="00870D9A" w:rsidRPr="00870D9A">
        <w:rPr>
          <w:lang w:val="fr-FR"/>
        </w:rPr>
        <w:t>’</w:t>
      </w:r>
      <w:r w:rsidRPr="00870D9A">
        <w:rPr>
          <w:lang w:val="fr-FR"/>
        </w:rPr>
        <w:t>arrêt de la Cour.</w:t>
      </w:r>
    </w:p>
    <w:sectPr w:rsidR="00CD1F75" w:rsidRPr="00870D9A" w:rsidSect="00AA2BB1">
      <w:headerReference w:type="even" r:id="rId16"/>
      <w:headerReference w:type="default" r:id="rId17"/>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137" w:rsidRPr="007E5FBE" w:rsidRDefault="00171137" w:rsidP="00E77CB3">
      <w:pPr>
        <w:rPr>
          <w:lang w:val="fr-FR"/>
        </w:rPr>
      </w:pPr>
      <w:r w:rsidRPr="007E5FBE">
        <w:rPr>
          <w:lang w:val="fr-FR"/>
        </w:rPr>
        <w:separator/>
      </w:r>
    </w:p>
  </w:endnote>
  <w:endnote w:type="continuationSeparator" w:id="0">
    <w:p w:rsidR="00171137" w:rsidRPr="007E5FBE" w:rsidRDefault="00171137" w:rsidP="00E77CB3">
      <w:pPr>
        <w:rPr>
          <w:lang w:val="fr-FR"/>
        </w:rPr>
      </w:pPr>
      <w:r w:rsidRPr="007E5FBE">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526" w:rsidRPr="00150BFA" w:rsidRDefault="00F96526" w:rsidP="00782416">
    <w:pPr>
      <w:jc w:val="center"/>
    </w:pPr>
    <w:r>
      <w:rPr>
        <w:noProof/>
        <w:lang w:val="it-IT" w:eastAsia="it-IT"/>
      </w:rPr>
      <w:drawing>
        <wp:inline distT="0" distB="0" distL="0" distR="0" wp14:anchorId="14F5DA53" wp14:editId="36C5642A">
          <wp:extent cx="771525" cy="619125"/>
          <wp:effectExtent l="0" t="0" r="9525" b="9525"/>
          <wp:docPr id="19" name="Picture 1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96526" w:rsidRDefault="00F9652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137" w:rsidRPr="007E5FBE" w:rsidRDefault="00171137" w:rsidP="00E77CB3">
      <w:pPr>
        <w:rPr>
          <w:lang w:val="fr-FR"/>
        </w:rPr>
      </w:pPr>
      <w:r w:rsidRPr="007E5FBE">
        <w:rPr>
          <w:lang w:val="fr-FR"/>
        </w:rPr>
        <w:separator/>
      </w:r>
    </w:p>
  </w:footnote>
  <w:footnote w:type="continuationSeparator" w:id="0">
    <w:p w:rsidR="00171137" w:rsidRPr="007E5FBE" w:rsidRDefault="00171137" w:rsidP="00E77CB3">
      <w:pPr>
        <w:rPr>
          <w:lang w:val="fr-FR"/>
        </w:rPr>
      </w:pPr>
      <w:r w:rsidRPr="007E5FBE">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526" w:rsidRPr="00782416" w:rsidRDefault="00F96526" w:rsidP="00782416">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526" w:rsidRPr="00A45145" w:rsidRDefault="00F96526" w:rsidP="00782416">
    <w:pPr>
      <w:jc w:val="center"/>
    </w:pPr>
    <w:r>
      <w:rPr>
        <w:noProof/>
        <w:lang w:val="it-IT" w:eastAsia="it-IT"/>
      </w:rPr>
      <w:drawing>
        <wp:inline distT="0" distB="0" distL="0" distR="0" wp14:anchorId="456E8D12" wp14:editId="3D26CF92">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96526" w:rsidRDefault="00F9652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526" w:rsidRPr="00347339" w:rsidRDefault="00F96526" w:rsidP="00C611D8">
    <w:pPr>
      <w:pStyle w:val="ECHRHeader"/>
    </w:pPr>
    <w:r>
      <w:rPr>
        <w:rStyle w:val="Numeropagina"/>
      </w:rPr>
      <w:fldChar w:fldCharType="begin"/>
    </w:r>
    <w:r>
      <w:rPr>
        <w:rStyle w:val="Numeropagina"/>
      </w:rPr>
      <w:instrText xml:space="preserve"> PAGE </w:instrText>
    </w:r>
    <w:r>
      <w:rPr>
        <w:rStyle w:val="Numeropagina"/>
      </w:rPr>
      <w:fldChar w:fldCharType="separate"/>
    </w:r>
    <w:r w:rsidR="005D005D">
      <w:rPr>
        <w:rStyle w:val="Numeropagina"/>
        <w:noProof/>
      </w:rPr>
      <w:t>14</w:t>
    </w:r>
    <w:r>
      <w:rPr>
        <w:rStyle w:val="Numeropagina"/>
      </w:rPr>
      <w:fldChar w:fldCharType="end"/>
    </w:r>
    <w:r w:rsidRPr="00347339">
      <w:rPr>
        <w:rStyle w:val="Numeropagina"/>
      </w:rPr>
      <w:tab/>
    </w:r>
    <w:r>
      <w:rPr>
        <w:noProof/>
      </w:rPr>
      <w:t>ARRÊT</w:t>
    </w:r>
    <w:r w:rsidRPr="00347339">
      <w:t xml:space="preserve"> </w:t>
    </w:r>
    <w:r>
      <w:t>BOZZA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526" w:rsidRPr="007E5FBE" w:rsidRDefault="00F96526" w:rsidP="00C63990">
    <w:pPr>
      <w:pStyle w:val="ECHRHeader"/>
      <w:rPr>
        <w:lang w:val="fr-FR"/>
      </w:rPr>
    </w:pPr>
    <w:r w:rsidRPr="007E5FBE">
      <w:rPr>
        <w:lang w:val="fr-FR"/>
      </w:rPr>
      <w:tab/>
    </w:r>
    <w:r>
      <w:rPr>
        <w:noProof/>
      </w:rPr>
      <w:t>ARRÊT</w:t>
    </w:r>
    <w:r w:rsidRPr="00347339">
      <w:t xml:space="preserve"> </w:t>
    </w:r>
    <w:r>
      <w:t>BOZZA c. ITALIE</w:t>
    </w:r>
    <w:r w:rsidRPr="00347339">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5D005D">
      <w:rPr>
        <w:rStyle w:val="Numeropagina"/>
        <w:noProof/>
        <w:lang w:val="fr-FR"/>
      </w:rPr>
      <w:t>15</w:t>
    </w:r>
    <w:r>
      <w:rPr>
        <w:rStyle w:val="Numeropagina"/>
        <w:lang w:val="fr-F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526" w:rsidRPr="00717A94" w:rsidRDefault="00F96526" w:rsidP="00C611D8">
    <w:pPr>
      <w:pStyle w:val="ECHRHeader"/>
      <w:rPr>
        <w:lang w:val="fr-FR"/>
      </w:rPr>
    </w:pPr>
    <w:r>
      <w:rPr>
        <w:rStyle w:val="Numeropagina"/>
      </w:rPr>
      <w:fldChar w:fldCharType="begin"/>
    </w:r>
    <w:r w:rsidRPr="00717A94">
      <w:rPr>
        <w:rStyle w:val="Numeropagina"/>
        <w:lang w:val="fr-FR"/>
      </w:rPr>
      <w:instrText xml:space="preserve"> PAGE </w:instrText>
    </w:r>
    <w:r>
      <w:rPr>
        <w:rStyle w:val="Numeropagina"/>
      </w:rPr>
      <w:fldChar w:fldCharType="separate"/>
    </w:r>
    <w:r w:rsidR="005D005D">
      <w:rPr>
        <w:rStyle w:val="Numeropagina"/>
        <w:noProof/>
        <w:lang w:val="fr-FR"/>
      </w:rPr>
      <w:t>16</w:t>
    </w:r>
    <w:r>
      <w:rPr>
        <w:rStyle w:val="Numeropagina"/>
      </w:rPr>
      <w:fldChar w:fldCharType="end"/>
    </w:r>
    <w:r w:rsidRPr="00717A94">
      <w:rPr>
        <w:rStyle w:val="Numeropagina"/>
        <w:lang w:val="fr-FR"/>
      </w:rPr>
      <w:tab/>
    </w:r>
    <w:r w:rsidRPr="00EB2D88">
      <w:rPr>
        <w:noProof/>
        <w:lang w:val="fr-FR"/>
      </w:rPr>
      <w:t>ARRÊT</w:t>
    </w:r>
    <w:r w:rsidRPr="00EB2D88">
      <w:rPr>
        <w:lang w:val="fr-FR"/>
      </w:rPr>
      <w:t xml:space="preserve"> BOZZA c. ITALIE – OPINION S</w:t>
    </w:r>
    <w:r>
      <w:rPr>
        <w:rFonts w:cstheme="minorHAnsi"/>
        <w:lang w:val="fr-FR"/>
      </w:rPr>
      <w:t>É</w:t>
    </w:r>
    <w:r w:rsidRPr="00EB2D88">
      <w:rPr>
        <w:lang w:val="fr-FR"/>
      </w:rPr>
      <w:t>PAR</w:t>
    </w:r>
    <w:r>
      <w:rPr>
        <w:rFonts w:cstheme="minorHAnsi"/>
        <w:lang w:val="fr-FR"/>
      </w:rPr>
      <w:t>É</w:t>
    </w:r>
    <w:r w:rsidRPr="00EB2D88">
      <w:rPr>
        <w:lang w:val="fr-FR"/>
      </w:rPr>
      <w:t>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526" w:rsidRPr="007E5FBE" w:rsidRDefault="00F96526" w:rsidP="00C63990">
    <w:pPr>
      <w:pStyle w:val="ECHRHeader"/>
      <w:rPr>
        <w:lang w:val="fr-FR"/>
      </w:rPr>
    </w:pPr>
    <w:r w:rsidRPr="007E5FBE">
      <w:rPr>
        <w:lang w:val="fr-FR"/>
      </w:rPr>
      <w:tab/>
    </w:r>
    <w:r w:rsidRPr="00EB2D88">
      <w:rPr>
        <w:noProof/>
        <w:lang w:val="fr-FR"/>
      </w:rPr>
      <w:t>ARRÊT</w:t>
    </w:r>
    <w:r w:rsidRPr="00EB2D88">
      <w:rPr>
        <w:lang w:val="fr-FR"/>
      </w:rPr>
      <w:t xml:space="preserve"> BOZZA c. ITALIE – OPINION S</w:t>
    </w:r>
    <w:r>
      <w:rPr>
        <w:rFonts w:cstheme="minorHAnsi"/>
        <w:lang w:val="fr-FR"/>
      </w:rPr>
      <w:t>É</w:t>
    </w:r>
    <w:r w:rsidRPr="00EB2D88">
      <w:rPr>
        <w:lang w:val="fr-FR"/>
      </w:rPr>
      <w:t>PAR</w:t>
    </w:r>
    <w:r>
      <w:rPr>
        <w:rFonts w:cstheme="minorHAnsi"/>
        <w:lang w:val="fr-FR"/>
      </w:rPr>
      <w:t>É</w:t>
    </w:r>
    <w:r w:rsidRPr="00EB2D88">
      <w:rPr>
        <w:lang w:val="fr-FR"/>
      </w:rPr>
      <w:t>E</w:t>
    </w:r>
    <w:r w:rsidRPr="00EB2D88">
      <w:rPr>
        <w:lang w:val="fr-FR"/>
      </w:rPr>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5D005D">
      <w:rPr>
        <w:rStyle w:val="Numeropagina"/>
        <w:noProof/>
        <w:lang w:val="fr-FR"/>
      </w:rPr>
      <w:t>17</w:t>
    </w:r>
    <w:r>
      <w:rPr>
        <w:rStyle w:val="Numeropagina"/>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5F347E"/>
    <w:rsid w:val="00000C9A"/>
    <w:rsid w:val="000041F8"/>
    <w:rsid w:val="000042A8"/>
    <w:rsid w:val="00004308"/>
    <w:rsid w:val="00005BF0"/>
    <w:rsid w:val="00007154"/>
    <w:rsid w:val="000103AE"/>
    <w:rsid w:val="00011D69"/>
    <w:rsid w:val="0001290D"/>
    <w:rsid w:val="00012AD3"/>
    <w:rsid w:val="00015C2D"/>
    <w:rsid w:val="00015F00"/>
    <w:rsid w:val="00022C1D"/>
    <w:rsid w:val="00030A8A"/>
    <w:rsid w:val="00031347"/>
    <w:rsid w:val="00034987"/>
    <w:rsid w:val="00035334"/>
    <w:rsid w:val="00043A74"/>
    <w:rsid w:val="00044F36"/>
    <w:rsid w:val="000602DF"/>
    <w:rsid w:val="00060790"/>
    <w:rsid w:val="00061B05"/>
    <w:rsid w:val="000632D5"/>
    <w:rsid w:val="000644EE"/>
    <w:rsid w:val="00065E4B"/>
    <w:rsid w:val="00066A71"/>
    <w:rsid w:val="000925AD"/>
    <w:rsid w:val="000A24EB"/>
    <w:rsid w:val="000A6834"/>
    <w:rsid w:val="000B6923"/>
    <w:rsid w:val="000C2F67"/>
    <w:rsid w:val="000C5F3C"/>
    <w:rsid w:val="000C6DCC"/>
    <w:rsid w:val="000D47AA"/>
    <w:rsid w:val="000D721F"/>
    <w:rsid w:val="000E069B"/>
    <w:rsid w:val="000E0E82"/>
    <w:rsid w:val="000E1DC5"/>
    <w:rsid w:val="000E223F"/>
    <w:rsid w:val="000E5A6B"/>
    <w:rsid w:val="000E7D45"/>
    <w:rsid w:val="000F00EF"/>
    <w:rsid w:val="000F7851"/>
    <w:rsid w:val="00104B12"/>
    <w:rsid w:val="00104E23"/>
    <w:rsid w:val="00111B0C"/>
    <w:rsid w:val="00116DC2"/>
    <w:rsid w:val="00120D6C"/>
    <w:rsid w:val="001210E7"/>
    <w:rsid w:val="001257EC"/>
    <w:rsid w:val="00132695"/>
    <w:rsid w:val="00133D33"/>
    <w:rsid w:val="00134D64"/>
    <w:rsid w:val="00135A30"/>
    <w:rsid w:val="0013612C"/>
    <w:rsid w:val="00137FF6"/>
    <w:rsid w:val="00141650"/>
    <w:rsid w:val="00141CFC"/>
    <w:rsid w:val="001516A3"/>
    <w:rsid w:val="0016174F"/>
    <w:rsid w:val="001619D7"/>
    <w:rsid w:val="00162A12"/>
    <w:rsid w:val="00166530"/>
    <w:rsid w:val="00171137"/>
    <w:rsid w:val="001832BD"/>
    <w:rsid w:val="001941BC"/>
    <w:rsid w:val="001943B5"/>
    <w:rsid w:val="00195134"/>
    <w:rsid w:val="00196D1A"/>
    <w:rsid w:val="001A145B"/>
    <w:rsid w:val="001A3EF2"/>
    <w:rsid w:val="001A674C"/>
    <w:rsid w:val="001B3B24"/>
    <w:rsid w:val="001B7851"/>
    <w:rsid w:val="001C0F98"/>
    <w:rsid w:val="001C2A42"/>
    <w:rsid w:val="001C41FA"/>
    <w:rsid w:val="001D2ECC"/>
    <w:rsid w:val="001D63ED"/>
    <w:rsid w:val="001D7348"/>
    <w:rsid w:val="001E035B"/>
    <w:rsid w:val="001E0961"/>
    <w:rsid w:val="001E0B6D"/>
    <w:rsid w:val="001E313F"/>
    <w:rsid w:val="001E3EAE"/>
    <w:rsid w:val="001E6F32"/>
    <w:rsid w:val="001F2145"/>
    <w:rsid w:val="001F3FB4"/>
    <w:rsid w:val="001F4E43"/>
    <w:rsid w:val="001F6262"/>
    <w:rsid w:val="001F67B0"/>
    <w:rsid w:val="001F6F11"/>
    <w:rsid w:val="001F748A"/>
    <w:rsid w:val="001F7B3D"/>
    <w:rsid w:val="00205F9F"/>
    <w:rsid w:val="00210338"/>
    <w:rsid w:val="0021070B"/>
    <w:rsid w:val="002115FC"/>
    <w:rsid w:val="00213922"/>
    <w:rsid w:val="0021423C"/>
    <w:rsid w:val="00230D00"/>
    <w:rsid w:val="00231DF7"/>
    <w:rsid w:val="00231FD1"/>
    <w:rsid w:val="002339E0"/>
    <w:rsid w:val="00233CF8"/>
    <w:rsid w:val="0023575D"/>
    <w:rsid w:val="00237148"/>
    <w:rsid w:val="0024004B"/>
    <w:rsid w:val="0024222D"/>
    <w:rsid w:val="00243432"/>
    <w:rsid w:val="00244924"/>
    <w:rsid w:val="00244B0E"/>
    <w:rsid w:val="00244F6C"/>
    <w:rsid w:val="00246ABB"/>
    <w:rsid w:val="002532C5"/>
    <w:rsid w:val="002572F6"/>
    <w:rsid w:val="00260C03"/>
    <w:rsid w:val="0026540E"/>
    <w:rsid w:val="00275123"/>
    <w:rsid w:val="00276F2C"/>
    <w:rsid w:val="00282240"/>
    <w:rsid w:val="00291379"/>
    <w:rsid w:val="002948AD"/>
    <w:rsid w:val="002A01CC"/>
    <w:rsid w:val="002A1C9A"/>
    <w:rsid w:val="002A61B1"/>
    <w:rsid w:val="002A663C"/>
    <w:rsid w:val="002B444B"/>
    <w:rsid w:val="002B5887"/>
    <w:rsid w:val="002C0E27"/>
    <w:rsid w:val="002C3040"/>
    <w:rsid w:val="002C41E7"/>
    <w:rsid w:val="002D022D"/>
    <w:rsid w:val="002D1806"/>
    <w:rsid w:val="002D23B6"/>
    <w:rsid w:val="002D24BB"/>
    <w:rsid w:val="002E02A3"/>
    <w:rsid w:val="002E02CB"/>
    <w:rsid w:val="002E110F"/>
    <w:rsid w:val="002F2AF7"/>
    <w:rsid w:val="002F7E1C"/>
    <w:rsid w:val="00301A75"/>
    <w:rsid w:val="00302F70"/>
    <w:rsid w:val="0030336F"/>
    <w:rsid w:val="0030375E"/>
    <w:rsid w:val="00306B81"/>
    <w:rsid w:val="00312A30"/>
    <w:rsid w:val="003175BA"/>
    <w:rsid w:val="00320F72"/>
    <w:rsid w:val="0032450B"/>
    <w:rsid w:val="0032463E"/>
    <w:rsid w:val="003252F0"/>
    <w:rsid w:val="00326224"/>
    <w:rsid w:val="00326AB4"/>
    <w:rsid w:val="00333659"/>
    <w:rsid w:val="003363E3"/>
    <w:rsid w:val="00337EE4"/>
    <w:rsid w:val="00340FFD"/>
    <w:rsid w:val="00347339"/>
    <w:rsid w:val="003506B1"/>
    <w:rsid w:val="00354F8C"/>
    <w:rsid w:val="00356AC7"/>
    <w:rsid w:val="00360179"/>
    <w:rsid w:val="003609FA"/>
    <w:rsid w:val="003710C8"/>
    <w:rsid w:val="003750BE"/>
    <w:rsid w:val="00384D70"/>
    <w:rsid w:val="00387B9D"/>
    <w:rsid w:val="003921C0"/>
    <w:rsid w:val="0039364F"/>
    <w:rsid w:val="003960C1"/>
    <w:rsid w:val="00396686"/>
    <w:rsid w:val="0039778E"/>
    <w:rsid w:val="003A782B"/>
    <w:rsid w:val="003B1403"/>
    <w:rsid w:val="003B2814"/>
    <w:rsid w:val="003B4941"/>
    <w:rsid w:val="003C2F92"/>
    <w:rsid w:val="003C5714"/>
    <w:rsid w:val="003C6B9F"/>
    <w:rsid w:val="003C6E2A"/>
    <w:rsid w:val="003D0299"/>
    <w:rsid w:val="003E04EE"/>
    <w:rsid w:val="003E3A6B"/>
    <w:rsid w:val="003E6D80"/>
    <w:rsid w:val="003F05FA"/>
    <w:rsid w:val="003F244A"/>
    <w:rsid w:val="003F30B8"/>
    <w:rsid w:val="003F4C45"/>
    <w:rsid w:val="003F5F7B"/>
    <w:rsid w:val="003F7D64"/>
    <w:rsid w:val="00405979"/>
    <w:rsid w:val="00405A94"/>
    <w:rsid w:val="00414300"/>
    <w:rsid w:val="004147EA"/>
    <w:rsid w:val="00425C67"/>
    <w:rsid w:val="00427E7A"/>
    <w:rsid w:val="00434EC4"/>
    <w:rsid w:val="004361D1"/>
    <w:rsid w:val="00436C49"/>
    <w:rsid w:val="00445366"/>
    <w:rsid w:val="00447F5B"/>
    <w:rsid w:val="0045067D"/>
    <w:rsid w:val="00461DB0"/>
    <w:rsid w:val="00463926"/>
    <w:rsid w:val="00464C9A"/>
    <w:rsid w:val="00470AF8"/>
    <w:rsid w:val="004741F5"/>
    <w:rsid w:val="00474F3D"/>
    <w:rsid w:val="004763E8"/>
    <w:rsid w:val="00477E3A"/>
    <w:rsid w:val="00480728"/>
    <w:rsid w:val="00483E5F"/>
    <w:rsid w:val="00484434"/>
    <w:rsid w:val="00485FF9"/>
    <w:rsid w:val="004907F0"/>
    <w:rsid w:val="0049140B"/>
    <w:rsid w:val="004923A5"/>
    <w:rsid w:val="00496BFB"/>
    <w:rsid w:val="004A01DF"/>
    <w:rsid w:val="004A15C7"/>
    <w:rsid w:val="004A66D2"/>
    <w:rsid w:val="004B013B"/>
    <w:rsid w:val="004B112B"/>
    <w:rsid w:val="004B1E9D"/>
    <w:rsid w:val="004C01E4"/>
    <w:rsid w:val="004C086C"/>
    <w:rsid w:val="004C1F56"/>
    <w:rsid w:val="004C27BC"/>
    <w:rsid w:val="004C49E5"/>
    <w:rsid w:val="004D15F3"/>
    <w:rsid w:val="004D5311"/>
    <w:rsid w:val="004D5DCC"/>
    <w:rsid w:val="004E380E"/>
    <w:rsid w:val="004F10AF"/>
    <w:rsid w:val="004F11A4"/>
    <w:rsid w:val="004F2389"/>
    <w:rsid w:val="004F2979"/>
    <w:rsid w:val="004F304D"/>
    <w:rsid w:val="004F61BE"/>
    <w:rsid w:val="004F66B1"/>
    <w:rsid w:val="005029CE"/>
    <w:rsid w:val="00511C07"/>
    <w:rsid w:val="005173A6"/>
    <w:rsid w:val="005205F7"/>
    <w:rsid w:val="00520BAA"/>
    <w:rsid w:val="00522EC3"/>
    <w:rsid w:val="00525208"/>
    <w:rsid w:val="005257A5"/>
    <w:rsid w:val="005264C0"/>
    <w:rsid w:val="00526A8A"/>
    <w:rsid w:val="00526F39"/>
    <w:rsid w:val="00531DF2"/>
    <w:rsid w:val="00537EC0"/>
    <w:rsid w:val="005442EE"/>
    <w:rsid w:val="00547353"/>
    <w:rsid w:val="005474E7"/>
    <w:rsid w:val="005512A3"/>
    <w:rsid w:val="005578CE"/>
    <w:rsid w:val="00562781"/>
    <w:rsid w:val="005645E1"/>
    <w:rsid w:val="0057107B"/>
    <w:rsid w:val="0057271C"/>
    <w:rsid w:val="00572845"/>
    <w:rsid w:val="00574C83"/>
    <w:rsid w:val="00592772"/>
    <w:rsid w:val="0059574A"/>
    <w:rsid w:val="005961B7"/>
    <w:rsid w:val="00596468"/>
    <w:rsid w:val="005A02CB"/>
    <w:rsid w:val="005A1B9B"/>
    <w:rsid w:val="005A6751"/>
    <w:rsid w:val="005B092E"/>
    <w:rsid w:val="005B152C"/>
    <w:rsid w:val="005B1EE0"/>
    <w:rsid w:val="005B2B24"/>
    <w:rsid w:val="005B4425"/>
    <w:rsid w:val="005B4B94"/>
    <w:rsid w:val="005B6721"/>
    <w:rsid w:val="005C3EE8"/>
    <w:rsid w:val="005C6257"/>
    <w:rsid w:val="005D005D"/>
    <w:rsid w:val="005D34F9"/>
    <w:rsid w:val="005D4190"/>
    <w:rsid w:val="005D67A3"/>
    <w:rsid w:val="005E2988"/>
    <w:rsid w:val="005E3085"/>
    <w:rsid w:val="005E3331"/>
    <w:rsid w:val="005E3412"/>
    <w:rsid w:val="005E37C6"/>
    <w:rsid w:val="005F197B"/>
    <w:rsid w:val="005F347E"/>
    <w:rsid w:val="005F41D2"/>
    <w:rsid w:val="005F51E1"/>
    <w:rsid w:val="00611C80"/>
    <w:rsid w:val="00615003"/>
    <w:rsid w:val="00615C68"/>
    <w:rsid w:val="00617E0D"/>
    <w:rsid w:val="00620692"/>
    <w:rsid w:val="006215A0"/>
    <w:rsid w:val="006242CA"/>
    <w:rsid w:val="0062711C"/>
    <w:rsid w:val="00627507"/>
    <w:rsid w:val="00633717"/>
    <w:rsid w:val="006344E1"/>
    <w:rsid w:val="00646454"/>
    <w:rsid w:val="0065298D"/>
    <w:rsid w:val="006545C4"/>
    <w:rsid w:val="00661971"/>
    <w:rsid w:val="00661A6F"/>
    <w:rsid w:val="00661CE8"/>
    <w:rsid w:val="006623D9"/>
    <w:rsid w:val="0066550C"/>
    <w:rsid w:val="00667B26"/>
    <w:rsid w:val="00667EFE"/>
    <w:rsid w:val="006716F2"/>
    <w:rsid w:val="006737A0"/>
    <w:rsid w:val="00682BF2"/>
    <w:rsid w:val="00684A9E"/>
    <w:rsid w:val="006859CE"/>
    <w:rsid w:val="00691270"/>
    <w:rsid w:val="00694A2E"/>
    <w:rsid w:val="00694BA8"/>
    <w:rsid w:val="006A037C"/>
    <w:rsid w:val="006A36F4"/>
    <w:rsid w:val="006A406F"/>
    <w:rsid w:val="006A5D3A"/>
    <w:rsid w:val="006B4C09"/>
    <w:rsid w:val="006B7126"/>
    <w:rsid w:val="006C1BCB"/>
    <w:rsid w:val="006C23D4"/>
    <w:rsid w:val="006C2EDA"/>
    <w:rsid w:val="006C64BE"/>
    <w:rsid w:val="006C7BB0"/>
    <w:rsid w:val="006D3237"/>
    <w:rsid w:val="006E0977"/>
    <w:rsid w:val="006E2E37"/>
    <w:rsid w:val="006E3CF1"/>
    <w:rsid w:val="006E7E80"/>
    <w:rsid w:val="006F48CA"/>
    <w:rsid w:val="006F50AB"/>
    <w:rsid w:val="006F64DD"/>
    <w:rsid w:val="00711B9F"/>
    <w:rsid w:val="00715127"/>
    <w:rsid w:val="00715E8E"/>
    <w:rsid w:val="00717A94"/>
    <w:rsid w:val="00723580"/>
    <w:rsid w:val="00723755"/>
    <w:rsid w:val="00724ADB"/>
    <w:rsid w:val="0073136C"/>
    <w:rsid w:val="00731F0F"/>
    <w:rsid w:val="00733250"/>
    <w:rsid w:val="00733B46"/>
    <w:rsid w:val="0073489A"/>
    <w:rsid w:val="00741404"/>
    <w:rsid w:val="007449E5"/>
    <w:rsid w:val="00747196"/>
    <w:rsid w:val="00747FF0"/>
    <w:rsid w:val="007513B3"/>
    <w:rsid w:val="00760054"/>
    <w:rsid w:val="00764D4E"/>
    <w:rsid w:val="00765A1F"/>
    <w:rsid w:val="00767DF7"/>
    <w:rsid w:val="00767F79"/>
    <w:rsid w:val="00775B6D"/>
    <w:rsid w:val="00776D68"/>
    <w:rsid w:val="00782416"/>
    <w:rsid w:val="00782A3C"/>
    <w:rsid w:val="00782FCD"/>
    <w:rsid w:val="007850EE"/>
    <w:rsid w:val="00785B95"/>
    <w:rsid w:val="00790E96"/>
    <w:rsid w:val="00793366"/>
    <w:rsid w:val="007952DA"/>
    <w:rsid w:val="007A716F"/>
    <w:rsid w:val="007B270A"/>
    <w:rsid w:val="007B4B56"/>
    <w:rsid w:val="007C0695"/>
    <w:rsid w:val="007C419A"/>
    <w:rsid w:val="007C4CC8"/>
    <w:rsid w:val="007C5300"/>
    <w:rsid w:val="007C5426"/>
    <w:rsid w:val="007C5798"/>
    <w:rsid w:val="007D4832"/>
    <w:rsid w:val="007E21B2"/>
    <w:rsid w:val="007E2C4E"/>
    <w:rsid w:val="007E3ED4"/>
    <w:rsid w:val="007E48C2"/>
    <w:rsid w:val="007E5FBE"/>
    <w:rsid w:val="007E67F1"/>
    <w:rsid w:val="007E7B93"/>
    <w:rsid w:val="007F1905"/>
    <w:rsid w:val="007F4F51"/>
    <w:rsid w:val="007F50D8"/>
    <w:rsid w:val="00800343"/>
    <w:rsid w:val="008011A7"/>
    <w:rsid w:val="00801300"/>
    <w:rsid w:val="00802C64"/>
    <w:rsid w:val="008030F2"/>
    <w:rsid w:val="0080342A"/>
    <w:rsid w:val="00805E52"/>
    <w:rsid w:val="008061D0"/>
    <w:rsid w:val="00810B38"/>
    <w:rsid w:val="00813039"/>
    <w:rsid w:val="008204C7"/>
    <w:rsid w:val="00820992"/>
    <w:rsid w:val="00823602"/>
    <w:rsid w:val="00823E89"/>
    <w:rsid w:val="008255F5"/>
    <w:rsid w:val="0083014E"/>
    <w:rsid w:val="0083214A"/>
    <w:rsid w:val="008323C4"/>
    <w:rsid w:val="00834220"/>
    <w:rsid w:val="0084351A"/>
    <w:rsid w:val="00845723"/>
    <w:rsid w:val="00851EF9"/>
    <w:rsid w:val="008577FD"/>
    <w:rsid w:val="00860B03"/>
    <w:rsid w:val="00861E8D"/>
    <w:rsid w:val="0086497A"/>
    <w:rsid w:val="00864C86"/>
    <w:rsid w:val="00870D9A"/>
    <w:rsid w:val="008713A1"/>
    <w:rsid w:val="008754AB"/>
    <w:rsid w:val="00875AB3"/>
    <w:rsid w:val="0088060C"/>
    <w:rsid w:val="00880F88"/>
    <w:rsid w:val="008851E6"/>
    <w:rsid w:val="00893576"/>
    <w:rsid w:val="00893E73"/>
    <w:rsid w:val="008A1F5F"/>
    <w:rsid w:val="008B02DC"/>
    <w:rsid w:val="008B57CE"/>
    <w:rsid w:val="008B6CE6"/>
    <w:rsid w:val="008C184B"/>
    <w:rsid w:val="008C26DE"/>
    <w:rsid w:val="008C366F"/>
    <w:rsid w:val="008D0B4D"/>
    <w:rsid w:val="008D2225"/>
    <w:rsid w:val="008D4752"/>
    <w:rsid w:val="008D7298"/>
    <w:rsid w:val="008E271C"/>
    <w:rsid w:val="008E2B75"/>
    <w:rsid w:val="008E418E"/>
    <w:rsid w:val="008E5BC6"/>
    <w:rsid w:val="008E6A25"/>
    <w:rsid w:val="008F4B2B"/>
    <w:rsid w:val="008F5193"/>
    <w:rsid w:val="009013A7"/>
    <w:rsid w:val="009017FB"/>
    <w:rsid w:val="009017FC"/>
    <w:rsid w:val="0090506B"/>
    <w:rsid w:val="009050C9"/>
    <w:rsid w:val="009066FC"/>
    <w:rsid w:val="009140A3"/>
    <w:rsid w:val="009144A2"/>
    <w:rsid w:val="00914B08"/>
    <w:rsid w:val="0091510C"/>
    <w:rsid w:val="00915286"/>
    <w:rsid w:val="009259AC"/>
    <w:rsid w:val="00926AD5"/>
    <w:rsid w:val="00926F38"/>
    <w:rsid w:val="00934301"/>
    <w:rsid w:val="00936C2D"/>
    <w:rsid w:val="00936CD1"/>
    <w:rsid w:val="0094007A"/>
    <w:rsid w:val="00941747"/>
    <w:rsid w:val="00941EFB"/>
    <w:rsid w:val="00947AFB"/>
    <w:rsid w:val="00951D7D"/>
    <w:rsid w:val="00960A78"/>
    <w:rsid w:val="009630C7"/>
    <w:rsid w:val="009677B6"/>
    <w:rsid w:val="00972B55"/>
    <w:rsid w:val="009743B7"/>
    <w:rsid w:val="009776A2"/>
    <w:rsid w:val="0098228B"/>
    <w:rsid w:val="009828DA"/>
    <w:rsid w:val="00985BAB"/>
    <w:rsid w:val="0099313E"/>
    <w:rsid w:val="009B1B5F"/>
    <w:rsid w:val="009B6673"/>
    <w:rsid w:val="009C191B"/>
    <w:rsid w:val="009C1A60"/>
    <w:rsid w:val="009C1F1B"/>
    <w:rsid w:val="009C2BD6"/>
    <w:rsid w:val="009C5881"/>
    <w:rsid w:val="009D16B0"/>
    <w:rsid w:val="009E1F32"/>
    <w:rsid w:val="009E776C"/>
    <w:rsid w:val="00A00144"/>
    <w:rsid w:val="00A14598"/>
    <w:rsid w:val="00A1726E"/>
    <w:rsid w:val="00A204CF"/>
    <w:rsid w:val="00A23D49"/>
    <w:rsid w:val="00A27004"/>
    <w:rsid w:val="00A30C29"/>
    <w:rsid w:val="00A34DD6"/>
    <w:rsid w:val="00A36819"/>
    <w:rsid w:val="00A36989"/>
    <w:rsid w:val="00A43308"/>
    <w:rsid w:val="00A43628"/>
    <w:rsid w:val="00A54192"/>
    <w:rsid w:val="00A6035E"/>
    <w:rsid w:val="00A6144C"/>
    <w:rsid w:val="00A66617"/>
    <w:rsid w:val="00A671F8"/>
    <w:rsid w:val="00A673A4"/>
    <w:rsid w:val="00A67531"/>
    <w:rsid w:val="00A724AE"/>
    <w:rsid w:val="00A73329"/>
    <w:rsid w:val="00A74BC1"/>
    <w:rsid w:val="00A80D9E"/>
    <w:rsid w:val="00A82359"/>
    <w:rsid w:val="00A82AED"/>
    <w:rsid w:val="00A865D2"/>
    <w:rsid w:val="00A94C20"/>
    <w:rsid w:val="00AA227F"/>
    <w:rsid w:val="00AA2BB1"/>
    <w:rsid w:val="00AA3604"/>
    <w:rsid w:val="00AA3BC7"/>
    <w:rsid w:val="00AA754A"/>
    <w:rsid w:val="00AA755B"/>
    <w:rsid w:val="00AB099E"/>
    <w:rsid w:val="00AB4328"/>
    <w:rsid w:val="00AB71BE"/>
    <w:rsid w:val="00AC0824"/>
    <w:rsid w:val="00AC208E"/>
    <w:rsid w:val="00AC4EBF"/>
    <w:rsid w:val="00AD412E"/>
    <w:rsid w:val="00AD7E36"/>
    <w:rsid w:val="00AE0A2E"/>
    <w:rsid w:val="00AE354C"/>
    <w:rsid w:val="00AE4277"/>
    <w:rsid w:val="00AF02DC"/>
    <w:rsid w:val="00AF4B07"/>
    <w:rsid w:val="00AF5CC8"/>
    <w:rsid w:val="00AF6186"/>
    <w:rsid w:val="00AF7A3A"/>
    <w:rsid w:val="00AF7B87"/>
    <w:rsid w:val="00B160DB"/>
    <w:rsid w:val="00B17BF3"/>
    <w:rsid w:val="00B20836"/>
    <w:rsid w:val="00B235BB"/>
    <w:rsid w:val="00B27A44"/>
    <w:rsid w:val="00B30BBF"/>
    <w:rsid w:val="00B30FB4"/>
    <w:rsid w:val="00B33C03"/>
    <w:rsid w:val="00B34273"/>
    <w:rsid w:val="00B3549A"/>
    <w:rsid w:val="00B37C6E"/>
    <w:rsid w:val="00B43AE4"/>
    <w:rsid w:val="00B44E56"/>
    <w:rsid w:val="00B46543"/>
    <w:rsid w:val="00B47D33"/>
    <w:rsid w:val="00B52BE0"/>
    <w:rsid w:val="00B54133"/>
    <w:rsid w:val="00B60AF2"/>
    <w:rsid w:val="00B6223D"/>
    <w:rsid w:val="00B661E1"/>
    <w:rsid w:val="00B701ED"/>
    <w:rsid w:val="00B757BA"/>
    <w:rsid w:val="00B8086C"/>
    <w:rsid w:val="00B85A04"/>
    <w:rsid w:val="00B861B4"/>
    <w:rsid w:val="00B86DFE"/>
    <w:rsid w:val="00B90990"/>
    <w:rsid w:val="00B922FF"/>
    <w:rsid w:val="00B9281E"/>
    <w:rsid w:val="00B93925"/>
    <w:rsid w:val="00B93ECF"/>
    <w:rsid w:val="00B94BB8"/>
    <w:rsid w:val="00B95187"/>
    <w:rsid w:val="00B9776F"/>
    <w:rsid w:val="00BA2D55"/>
    <w:rsid w:val="00BA6DA5"/>
    <w:rsid w:val="00BA71B1"/>
    <w:rsid w:val="00BB0637"/>
    <w:rsid w:val="00BB345F"/>
    <w:rsid w:val="00BB68EA"/>
    <w:rsid w:val="00BC1C27"/>
    <w:rsid w:val="00BC4011"/>
    <w:rsid w:val="00BC47F6"/>
    <w:rsid w:val="00BC4A8F"/>
    <w:rsid w:val="00BC6BBF"/>
    <w:rsid w:val="00BC7129"/>
    <w:rsid w:val="00BD0653"/>
    <w:rsid w:val="00BD1572"/>
    <w:rsid w:val="00BE14E3"/>
    <w:rsid w:val="00BE1A3E"/>
    <w:rsid w:val="00BE3774"/>
    <w:rsid w:val="00BE41E5"/>
    <w:rsid w:val="00BF4109"/>
    <w:rsid w:val="00BF4CC3"/>
    <w:rsid w:val="00BF7518"/>
    <w:rsid w:val="00C054C7"/>
    <w:rsid w:val="00C057B5"/>
    <w:rsid w:val="00C06E15"/>
    <w:rsid w:val="00C1262B"/>
    <w:rsid w:val="00C1792D"/>
    <w:rsid w:val="00C2170F"/>
    <w:rsid w:val="00C222AC"/>
    <w:rsid w:val="00C22687"/>
    <w:rsid w:val="00C24185"/>
    <w:rsid w:val="00C32E4D"/>
    <w:rsid w:val="00C3322F"/>
    <w:rsid w:val="00C333A0"/>
    <w:rsid w:val="00C36408"/>
    <w:rsid w:val="00C36A81"/>
    <w:rsid w:val="00C41974"/>
    <w:rsid w:val="00C45C91"/>
    <w:rsid w:val="00C53F4A"/>
    <w:rsid w:val="00C54125"/>
    <w:rsid w:val="00C55B54"/>
    <w:rsid w:val="00C6070F"/>
    <w:rsid w:val="00C6098E"/>
    <w:rsid w:val="00C611D8"/>
    <w:rsid w:val="00C6152C"/>
    <w:rsid w:val="00C63990"/>
    <w:rsid w:val="00C64EF6"/>
    <w:rsid w:val="00C65050"/>
    <w:rsid w:val="00C74810"/>
    <w:rsid w:val="00C8463C"/>
    <w:rsid w:val="00C849CE"/>
    <w:rsid w:val="00C90D68"/>
    <w:rsid w:val="00C91601"/>
    <w:rsid w:val="00C939FE"/>
    <w:rsid w:val="00CA4BDA"/>
    <w:rsid w:val="00CA6D6C"/>
    <w:rsid w:val="00CB1F66"/>
    <w:rsid w:val="00CB2951"/>
    <w:rsid w:val="00CC3FE5"/>
    <w:rsid w:val="00CC71E6"/>
    <w:rsid w:val="00CD16F8"/>
    <w:rsid w:val="00CD1F75"/>
    <w:rsid w:val="00CD282B"/>
    <w:rsid w:val="00CD3B32"/>
    <w:rsid w:val="00CD4C35"/>
    <w:rsid w:val="00CD5BEE"/>
    <w:rsid w:val="00CD5C3F"/>
    <w:rsid w:val="00CD7369"/>
    <w:rsid w:val="00CE0B0E"/>
    <w:rsid w:val="00CE3831"/>
    <w:rsid w:val="00D00ABB"/>
    <w:rsid w:val="00D00CB8"/>
    <w:rsid w:val="00D02EEC"/>
    <w:rsid w:val="00D03551"/>
    <w:rsid w:val="00D06A63"/>
    <w:rsid w:val="00D07E0E"/>
    <w:rsid w:val="00D11478"/>
    <w:rsid w:val="00D15ED0"/>
    <w:rsid w:val="00D21B3E"/>
    <w:rsid w:val="00D21FED"/>
    <w:rsid w:val="00D24251"/>
    <w:rsid w:val="00D250D7"/>
    <w:rsid w:val="00D343E2"/>
    <w:rsid w:val="00D361A2"/>
    <w:rsid w:val="00D37C1F"/>
    <w:rsid w:val="00D42AFF"/>
    <w:rsid w:val="00D44C2E"/>
    <w:rsid w:val="00D45414"/>
    <w:rsid w:val="00D566BD"/>
    <w:rsid w:val="00D576CF"/>
    <w:rsid w:val="00D57A4D"/>
    <w:rsid w:val="00D60AA7"/>
    <w:rsid w:val="00D6435F"/>
    <w:rsid w:val="00D74D0D"/>
    <w:rsid w:val="00D75E28"/>
    <w:rsid w:val="00D772C2"/>
    <w:rsid w:val="00D8008E"/>
    <w:rsid w:val="00D82C45"/>
    <w:rsid w:val="00D908A8"/>
    <w:rsid w:val="00D977B6"/>
    <w:rsid w:val="00DA4A31"/>
    <w:rsid w:val="00DA7B04"/>
    <w:rsid w:val="00DB36C2"/>
    <w:rsid w:val="00DB3B78"/>
    <w:rsid w:val="00DC169B"/>
    <w:rsid w:val="00DC2AB9"/>
    <w:rsid w:val="00DC63F0"/>
    <w:rsid w:val="00DD4AAB"/>
    <w:rsid w:val="00DD5146"/>
    <w:rsid w:val="00DD6EE5"/>
    <w:rsid w:val="00DD7A91"/>
    <w:rsid w:val="00DE386C"/>
    <w:rsid w:val="00DE4D35"/>
    <w:rsid w:val="00DE572F"/>
    <w:rsid w:val="00DE6C64"/>
    <w:rsid w:val="00DF098B"/>
    <w:rsid w:val="00DF11C4"/>
    <w:rsid w:val="00DF210C"/>
    <w:rsid w:val="00DF4B6A"/>
    <w:rsid w:val="00DF783E"/>
    <w:rsid w:val="00E01E65"/>
    <w:rsid w:val="00E02C09"/>
    <w:rsid w:val="00E04D59"/>
    <w:rsid w:val="00E07DA1"/>
    <w:rsid w:val="00E123CB"/>
    <w:rsid w:val="00E12DF6"/>
    <w:rsid w:val="00E177B5"/>
    <w:rsid w:val="00E20E13"/>
    <w:rsid w:val="00E21DBC"/>
    <w:rsid w:val="00E275D7"/>
    <w:rsid w:val="00E27DBE"/>
    <w:rsid w:val="00E31471"/>
    <w:rsid w:val="00E31D3D"/>
    <w:rsid w:val="00E32AB1"/>
    <w:rsid w:val="00E36B14"/>
    <w:rsid w:val="00E36C71"/>
    <w:rsid w:val="00E373F5"/>
    <w:rsid w:val="00E40404"/>
    <w:rsid w:val="00E40595"/>
    <w:rsid w:val="00E43273"/>
    <w:rsid w:val="00E4529A"/>
    <w:rsid w:val="00E45359"/>
    <w:rsid w:val="00E459C6"/>
    <w:rsid w:val="00E47589"/>
    <w:rsid w:val="00E64915"/>
    <w:rsid w:val="00E661D4"/>
    <w:rsid w:val="00E70091"/>
    <w:rsid w:val="00E70CF7"/>
    <w:rsid w:val="00E70F4B"/>
    <w:rsid w:val="00E71CB3"/>
    <w:rsid w:val="00E720F5"/>
    <w:rsid w:val="00E76D47"/>
    <w:rsid w:val="00E7715D"/>
    <w:rsid w:val="00E77CB3"/>
    <w:rsid w:val="00E849F7"/>
    <w:rsid w:val="00E8519A"/>
    <w:rsid w:val="00E90302"/>
    <w:rsid w:val="00E9615C"/>
    <w:rsid w:val="00E97396"/>
    <w:rsid w:val="00EA185E"/>
    <w:rsid w:val="00EA4F1A"/>
    <w:rsid w:val="00EA592A"/>
    <w:rsid w:val="00EB14E4"/>
    <w:rsid w:val="00EB18B1"/>
    <w:rsid w:val="00EB2D88"/>
    <w:rsid w:val="00EB32A5"/>
    <w:rsid w:val="00EB34ED"/>
    <w:rsid w:val="00EB7BE0"/>
    <w:rsid w:val="00EB7E63"/>
    <w:rsid w:val="00EC315E"/>
    <w:rsid w:val="00EC5C5A"/>
    <w:rsid w:val="00ED077C"/>
    <w:rsid w:val="00ED1190"/>
    <w:rsid w:val="00ED6544"/>
    <w:rsid w:val="00EE0277"/>
    <w:rsid w:val="00EE3E00"/>
    <w:rsid w:val="00EE5DD2"/>
    <w:rsid w:val="00EF0A2E"/>
    <w:rsid w:val="00EF63C2"/>
    <w:rsid w:val="00F00A79"/>
    <w:rsid w:val="00F00E86"/>
    <w:rsid w:val="00F07C1E"/>
    <w:rsid w:val="00F105DB"/>
    <w:rsid w:val="00F125AC"/>
    <w:rsid w:val="00F132BC"/>
    <w:rsid w:val="00F13D80"/>
    <w:rsid w:val="00F16AAA"/>
    <w:rsid w:val="00F21161"/>
    <w:rsid w:val="00F218EF"/>
    <w:rsid w:val="00F21BC7"/>
    <w:rsid w:val="00F22668"/>
    <w:rsid w:val="00F266A2"/>
    <w:rsid w:val="00F27162"/>
    <w:rsid w:val="00F32269"/>
    <w:rsid w:val="00F41A35"/>
    <w:rsid w:val="00F53150"/>
    <w:rsid w:val="00F56A6F"/>
    <w:rsid w:val="00F5709C"/>
    <w:rsid w:val="00F63AD2"/>
    <w:rsid w:val="00F64EF1"/>
    <w:rsid w:val="00F72809"/>
    <w:rsid w:val="00F74269"/>
    <w:rsid w:val="00F8765F"/>
    <w:rsid w:val="00F90767"/>
    <w:rsid w:val="00F96526"/>
    <w:rsid w:val="00FA3C96"/>
    <w:rsid w:val="00FA685B"/>
    <w:rsid w:val="00FB0C01"/>
    <w:rsid w:val="00FB28EF"/>
    <w:rsid w:val="00FB2B45"/>
    <w:rsid w:val="00FC18F2"/>
    <w:rsid w:val="00FC39E5"/>
    <w:rsid w:val="00FC3A78"/>
    <w:rsid w:val="00FC5E7C"/>
    <w:rsid w:val="00FD1005"/>
    <w:rsid w:val="00FD1D88"/>
    <w:rsid w:val="00FD4672"/>
    <w:rsid w:val="00FD6C75"/>
    <w:rsid w:val="00FE6300"/>
    <w:rsid w:val="00FE71B3"/>
    <w:rsid w:val="00FF245F"/>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F96526"/>
    <w:pPr>
      <w:jc w:val="both"/>
    </w:pPr>
    <w:rPr>
      <w:rFonts w:eastAsiaTheme="minorEastAsia"/>
      <w:sz w:val="24"/>
    </w:rPr>
  </w:style>
  <w:style w:type="paragraph" w:styleId="Titolo1">
    <w:name w:val="heading 1"/>
    <w:basedOn w:val="Normale"/>
    <w:next w:val="Normale"/>
    <w:link w:val="Titolo1Carattere"/>
    <w:uiPriority w:val="99"/>
    <w:semiHidden/>
    <w:rsid w:val="00F96526"/>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F96526"/>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F96526"/>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F96526"/>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F96526"/>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F9652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F96526"/>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F96526"/>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F96526"/>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F965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6526"/>
    <w:rPr>
      <w:rFonts w:ascii="Tahoma" w:eastAsiaTheme="minorEastAsia" w:hAnsi="Tahoma" w:cs="Tahoma"/>
      <w:sz w:val="16"/>
      <w:szCs w:val="16"/>
    </w:rPr>
  </w:style>
  <w:style w:type="character" w:styleId="Titolodellibro">
    <w:name w:val="Book Title"/>
    <w:uiPriority w:val="99"/>
    <w:semiHidden/>
    <w:qFormat/>
    <w:rsid w:val="00F96526"/>
    <w:rPr>
      <w:i/>
      <w:iCs/>
      <w:smallCaps/>
      <w:spacing w:val="5"/>
    </w:rPr>
  </w:style>
  <w:style w:type="paragraph" w:customStyle="1" w:styleId="ECHRHeader">
    <w:name w:val="ECHR_Header"/>
    <w:aliases w:val="Ju_Header"/>
    <w:basedOn w:val="Intestazione"/>
    <w:uiPriority w:val="4"/>
    <w:qFormat/>
    <w:rsid w:val="00F96526"/>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F96526"/>
    <w:pPr>
      <w:jc w:val="left"/>
    </w:pPr>
    <w:rPr>
      <w:sz w:val="8"/>
    </w:rPr>
  </w:style>
  <w:style w:type="character" w:styleId="Enfasigrassetto">
    <w:name w:val="Strong"/>
    <w:uiPriority w:val="99"/>
    <w:semiHidden/>
    <w:qFormat/>
    <w:rsid w:val="00F96526"/>
    <w:rPr>
      <w:b/>
      <w:bCs/>
    </w:rPr>
  </w:style>
  <w:style w:type="paragraph" w:styleId="Nessunaspaziatura">
    <w:name w:val="No Spacing"/>
    <w:basedOn w:val="Normale"/>
    <w:link w:val="NessunaspaziaturaCarattere"/>
    <w:semiHidden/>
    <w:qFormat/>
    <w:rsid w:val="00F96526"/>
    <w:rPr>
      <w:sz w:val="22"/>
    </w:rPr>
  </w:style>
  <w:style w:type="character" w:customStyle="1" w:styleId="NessunaspaziaturaCarattere">
    <w:name w:val="Nessuna spaziatura Carattere"/>
    <w:basedOn w:val="Carpredefinitoparagrafo"/>
    <w:link w:val="Nessunaspaziatura"/>
    <w:semiHidden/>
    <w:rsid w:val="00F96526"/>
    <w:rPr>
      <w:rFonts w:eastAsiaTheme="minorEastAsia"/>
    </w:rPr>
  </w:style>
  <w:style w:type="paragraph" w:customStyle="1" w:styleId="ECHRFooterLine">
    <w:name w:val="ECHR_Footer_Line"/>
    <w:aliases w:val="Footer_Line"/>
    <w:basedOn w:val="Normale"/>
    <w:next w:val="ECHRFooter"/>
    <w:uiPriority w:val="57"/>
    <w:semiHidden/>
    <w:rsid w:val="00F96526"/>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F96526"/>
  </w:style>
  <w:style w:type="paragraph" w:customStyle="1" w:styleId="DecList">
    <w:name w:val="Dec_List"/>
    <w:basedOn w:val="Normale"/>
    <w:uiPriority w:val="9"/>
    <w:semiHidden/>
    <w:qFormat/>
    <w:rsid w:val="00F96526"/>
    <w:pPr>
      <w:spacing w:before="240"/>
      <w:ind w:left="284"/>
    </w:pPr>
  </w:style>
  <w:style w:type="paragraph" w:customStyle="1" w:styleId="DummyStyle">
    <w:name w:val="Dummy_Style"/>
    <w:basedOn w:val="Normale"/>
    <w:semiHidden/>
    <w:qFormat/>
    <w:rsid w:val="00F96526"/>
    <w:rPr>
      <w:color w:val="00B050"/>
    </w:rPr>
  </w:style>
  <w:style w:type="paragraph" w:customStyle="1" w:styleId="ECHRTitleCentre3">
    <w:name w:val="ECHR_Title_Centre_3"/>
    <w:aliases w:val="Ju_H_Article"/>
    <w:basedOn w:val="Normale"/>
    <w:next w:val="ECHRParaQuote"/>
    <w:uiPriority w:val="27"/>
    <w:qFormat/>
    <w:rsid w:val="00F96526"/>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F96526"/>
    <w:pPr>
      <w:keepNext/>
      <w:keepLines/>
      <w:spacing w:after="240"/>
      <w:jc w:val="center"/>
      <w:outlineLvl w:val="0"/>
    </w:pPr>
    <w:rPr>
      <w:rFonts w:asciiTheme="majorHAnsi" w:hAnsiTheme="majorHAnsi"/>
      <w:sz w:val="28"/>
    </w:rPr>
  </w:style>
  <w:style w:type="paragraph" w:customStyle="1" w:styleId="JuAppQuestion">
    <w:name w:val="Ju_App_Question"/>
    <w:basedOn w:val="Normale"/>
    <w:uiPriority w:val="5"/>
    <w:semiHidden/>
    <w:qFormat/>
    <w:rsid w:val="00F96526"/>
    <w:pPr>
      <w:numPr>
        <w:numId w:val="31"/>
      </w:numPr>
      <w:jc w:val="left"/>
    </w:pPr>
    <w:rPr>
      <w:b/>
    </w:rPr>
  </w:style>
  <w:style w:type="paragraph" w:customStyle="1" w:styleId="JuCourt">
    <w:name w:val="Ju_Court"/>
    <w:basedOn w:val="Normale"/>
    <w:next w:val="Normale"/>
    <w:uiPriority w:val="16"/>
    <w:qFormat/>
    <w:rsid w:val="00F96526"/>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F96526"/>
    <w:pPr>
      <w:tabs>
        <w:tab w:val="clear" w:pos="3686"/>
        <w:tab w:val="clear" w:pos="7371"/>
        <w:tab w:val="center" w:pos="6146"/>
        <w:tab w:val="right" w:pos="12293"/>
      </w:tabs>
    </w:pPr>
  </w:style>
  <w:style w:type="paragraph" w:customStyle="1" w:styleId="ECHRTitleCentre2">
    <w:name w:val="ECHR_Title_Centre_2"/>
    <w:aliases w:val="Dec_H_Case"/>
    <w:basedOn w:val="Normale"/>
    <w:next w:val="ECHRPara"/>
    <w:uiPriority w:val="8"/>
    <w:qFormat/>
    <w:rsid w:val="00F96526"/>
    <w:pPr>
      <w:spacing w:after="240"/>
      <w:jc w:val="center"/>
      <w:outlineLvl w:val="0"/>
    </w:pPr>
    <w:rPr>
      <w:rFonts w:asciiTheme="majorHAnsi" w:hAnsiTheme="majorHAnsi"/>
    </w:rPr>
  </w:style>
  <w:style w:type="character" w:customStyle="1" w:styleId="JuITMark">
    <w:name w:val="Ju_ITMark"/>
    <w:basedOn w:val="Carpredefinitoparagrafo"/>
    <w:uiPriority w:val="38"/>
    <w:qFormat/>
    <w:rsid w:val="00F96526"/>
    <w:rPr>
      <w:vanish w:val="0"/>
      <w:color w:val="auto"/>
      <w:sz w:val="14"/>
      <w:bdr w:val="none" w:sz="0" w:space="0" w:color="auto"/>
      <w:shd w:val="clear" w:color="auto" w:fill="BEE5FF" w:themeFill="background1" w:themeFillTint="33"/>
    </w:rPr>
  </w:style>
  <w:style w:type="paragraph" w:styleId="Titolo">
    <w:name w:val="Title"/>
    <w:basedOn w:val="Normale"/>
    <w:next w:val="Normale"/>
    <w:link w:val="TitoloCarattere"/>
    <w:uiPriority w:val="99"/>
    <w:semiHidden/>
    <w:qFormat/>
    <w:rsid w:val="00F9652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F96526"/>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F9652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F9652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F9652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F96526"/>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F96526"/>
    <w:pPr>
      <w:keepNext/>
      <w:keepLines/>
      <w:spacing w:before="240" w:after="120"/>
      <w:ind w:left="1236"/>
    </w:pPr>
    <w:rPr>
      <w:sz w:val="20"/>
    </w:rPr>
  </w:style>
  <w:style w:type="paragraph" w:customStyle="1" w:styleId="JuQuotSub">
    <w:name w:val="Ju_Quot_Sub"/>
    <w:basedOn w:val="ECHRParaQuote"/>
    <w:uiPriority w:val="15"/>
    <w:qFormat/>
    <w:rsid w:val="00F96526"/>
    <w:pPr>
      <w:ind w:left="567"/>
    </w:pPr>
  </w:style>
  <w:style w:type="paragraph" w:customStyle="1" w:styleId="JuInitialled">
    <w:name w:val="Ju_Initialled"/>
    <w:basedOn w:val="Normale"/>
    <w:uiPriority w:val="31"/>
    <w:qFormat/>
    <w:rsid w:val="00F96526"/>
    <w:pPr>
      <w:tabs>
        <w:tab w:val="center" w:pos="6407"/>
      </w:tabs>
      <w:spacing w:before="720"/>
      <w:jc w:val="right"/>
    </w:pPr>
  </w:style>
  <w:style w:type="character" w:customStyle="1" w:styleId="JUNAMES">
    <w:name w:val="JU_NAMES"/>
    <w:uiPriority w:val="17"/>
    <w:qFormat/>
    <w:rsid w:val="00F96526"/>
    <w:rPr>
      <w:caps w:val="0"/>
      <w:smallCaps/>
    </w:rPr>
  </w:style>
  <w:style w:type="paragraph" w:styleId="Intestazione">
    <w:name w:val="header"/>
    <w:basedOn w:val="Normale"/>
    <w:link w:val="IntestazioneCarattere"/>
    <w:uiPriority w:val="57"/>
    <w:semiHidden/>
    <w:rsid w:val="00F96526"/>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F96526"/>
    <w:rPr>
      <w:sz w:val="24"/>
    </w:rPr>
  </w:style>
  <w:style w:type="character" w:customStyle="1" w:styleId="Titolo1Carattere">
    <w:name w:val="Titolo 1 Carattere"/>
    <w:basedOn w:val="Carpredefinitoparagrafo"/>
    <w:link w:val="Titolo1"/>
    <w:uiPriority w:val="99"/>
    <w:semiHidden/>
    <w:rsid w:val="00F96526"/>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link w:val="JuHIRomanChar"/>
    <w:uiPriority w:val="19"/>
    <w:qFormat/>
    <w:rsid w:val="00F96526"/>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F96526"/>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F96526"/>
    <w:rPr>
      <w:rFonts w:asciiTheme="majorHAnsi" w:eastAsiaTheme="majorEastAsia" w:hAnsiTheme="majorHAnsi" w:cstheme="majorBidi"/>
      <w:b/>
      <w:bCs/>
      <w:color w:val="4D4D4D"/>
      <w:sz w:val="26"/>
      <w:szCs w:val="26"/>
    </w:rPr>
  </w:style>
  <w:style w:type="paragraph" w:customStyle="1" w:styleId="JuParaSub">
    <w:name w:val="Ju_Para_Sub"/>
    <w:basedOn w:val="ECHRPara"/>
    <w:uiPriority w:val="13"/>
    <w:qFormat/>
    <w:rsid w:val="00F96526"/>
    <w:pPr>
      <w:ind w:left="284"/>
    </w:pPr>
  </w:style>
  <w:style w:type="paragraph" w:customStyle="1" w:styleId="ECHRDecisionBody">
    <w:name w:val="ECHR_Decision_Body"/>
    <w:aliases w:val="Ju_Judges"/>
    <w:basedOn w:val="Normale"/>
    <w:uiPriority w:val="11"/>
    <w:qFormat/>
    <w:rsid w:val="00F96526"/>
    <w:pPr>
      <w:tabs>
        <w:tab w:val="left" w:pos="567"/>
        <w:tab w:val="left" w:pos="1134"/>
      </w:tabs>
      <w:jc w:val="left"/>
    </w:pPr>
  </w:style>
  <w:style w:type="character" w:customStyle="1" w:styleId="Titolo3Carattere">
    <w:name w:val="Titolo 3 Carattere"/>
    <w:basedOn w:val="Carpredefinitoparagrafo"/>
    <w:link w:val="Titolo3"/>
    <w:uiPriority w:val="99"/>
    <w:semiHidden/>
    <w:rsid w:val="00F96526"/>
    <w:rPr>
      <w:rFonts w:asciiTheme="majorHAnsi" w:eastAsiaTheme="majorEastAsia" w:hAnsiTheme="majorHAnsi" w:cstheme="majorBidi"/>
      <w:b/>
      <w:bCs/>
      <w:color w:val="5F5F5F"/>
      <w:sz w:val="24"/>
    </w:rPr>
  </w:style>
  <w:style w:type="paragraph" w:customStyle="1" w:styleId="ECHRPara">
    <w:name w:val="ECHR_Para"/>
    <w:aliases w:val="Ju_Para"/>
    <w:basedOn w:val="Normale"/>
    <w:link w:val="ECHRParaChar"/>
    <w:uiPriority w:val="12"/>
    <w:qFormat/>
    <w:rsid w:val="00F96526"/>
    <w:pPr>
      <w:ind w:firstLine="284"/>
    </w:pPr>
  </w:style>
  <w:style w:type="character" w:customStyle="1" w:styleId="Titolo4Carattere">
    <w:name w:val="Titolo 4 Carattere"/>
    <w:basedOn w:val="Carpredefinitoparagrafo"/>
    <w:link w:val="Titolo4"/>
    <w:uiPriority w:val="99"/>
    <w:semiHidden/>
    <w:rsid w:val="00F96526"/>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F96526"/>
    <w:rPr>
      <w:rFonts w:asciiTheme="majorHAnsi" w:eastAsiaTheme="majorEastAsia" w:hAnsiTheme="majorHAnsi" w:cstheme="majorBidi"/>
      <w:b/>
      <w:bCs/>
      <w:color w:val="808080"/>
    </w:rPr>
  </w:style>
  <w:style w:type="character" w:styleId="Enfasidelicata">
    <w:name w:val="Subtle Emphasis"/>
    <w:uiPriority w:val="99"/>
    <w:semiHidden/>
    <w:qFormat/>
    <w:rsid w:val="00F96526"/>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F96526"/>
    <w:pPr>
      <w:keepNext/>
      <w:keepLines/>
      <w:spacing w:before="720" w:after="240"/>
      <w:outlineLvl w:val="0"/>
    </w:pPr>
    <w:rPr>
      <w:rFonts w:asciiTheme="majorHAnsi" w:hAnsiTheme="majorHAnsi"/>
      <w:sz w:val="28"/>
    </w:rPr>
  </w:style>
  <w:style w:type="character" w:styleId="Enfasicorsivo">
    <w:name w:val="Emphasis"/>
    <w:uiPriority w:val="99"/>
    <w:semiHidden/>
    <w:qFormat/>
    <w:rsid w:val="00F96526"/>
    <w:rPr>
      <w:b/>
      <w:bCs/>
      <w:i/>
      <w:iCs/>
      <w:spacing w:val="10"/>
      <w:bdr w:val="none" w:sz="0" w:space="0" w:color="auto"/>
      <w:shd w:val="clear" w:color="auto" w:fill="auto"/>
    </w:rPr>
  </w:style>
  <w:style w:type="paragraph" w:styleId="Pidipagina">
    <w:name w:val="footer"/>
    <w:basedOn w:val="Normale"/>
    <w:link w:val="PidipaginaCarattere"/>
    <w:uiPriority w:val="57"/>
    <w:semiHidden/>
    <w:rsid w:val="00F96526"/>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F96526"/>
    <w:rPr>
      <w:sz w:val="24"/>
    </w:rPr>
  </w:style>
  <w:style w:type="character" w:styleId="Rimandonotaapidipagina">
    <w:name w:val="footnote reference"/>
    <w:basedOn w:val="Carpredefinitoparagrafo"/>
    <w:uiPriority w:val="99"/>
    <w:semiHidden/>
    <w:rsid w:val="00F96526"/>
    <w:rPr>
      <w:vertAlign w:val="superscript"/>
    </w:rPr>
  </w:style>
  <w:style w:type="paragraph" w:styleId="Testonotaapidipagina">
    <w:name w:val="footnote text"/>
    <w:basedOn w:val="Normale"/>
    <w:link w:val="TestonotaapidipaginaCarattere"/>
    <w:uiPriority w:val="99"/>
    <w:semiHidden/>
    <w:rsid w:val="00F96526"/>
    <w:rPr>
      <w:sz w:val="20"/>
      <w:szCs w:val="20"/>
    </w:rPr>
  </w:style>
  <w:style w:type="character" w:customStyle="1" w:styleId="TestonotaapidipaginaCarattere">
    <w:name w:val="Testo nota a piè di pagina Carattere"/>
    <w:basedOn w:val="Carpredefinitoparagrafo"/>
    <w:link w:val="Testonotaapidipagina"/>
    <w:uiPriority w:val="99"/>
    <w:semiHidden/>
    <w:rsid w:val="00F96526"/>
    <w:rPr>
      <w:rFonts w:eastAsiaTheme="minorEastAsia"/>
      <w:sz w:val="20"/>
      <w:szCs w:val="20"/>
    </w:rPr>
  </w:style>
  <w:style w:type="character" w:customStyle="1" w:styleId="Titolo6Carattere">
    <w:name w:val="Titolo 6 Carattere"/>
    <w:basedOn w:val="Carpredefinitoparagrafo"/>
    <w:link w:val="Titolo6"/>
    <w:uiPriority w:val="99"/>
    <w:semiHidden/>
    <w:rsid w:val="00F96526"/>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F96526"/>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F96526"/>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F96526"/>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F96526"/>
    <w:rPr>
      <w:color w:val="0072BC" w:themeColor="hyperlink"/>
      <w:u w:val="single"/>
    </w:rPr>
  </w:style>
  <w:style w:type="character" w:styleId="Enfasiintensa">
    <w:name w:val="Intense Emphasis"/>
    <w:uiPriority w:val="99"/>
    <w:semiHidden/>
    <w:qFormat/>
    <w:rsid w:val="00F96526"/>
    <w:rPr>
      <w:b/>
      <w:bCs/>
    </w:rPr>
  </w:style>
  <w:style w:type="paragraph" w:styleId="Citazioneintensa">
    <w:name w:val="Intense Quote"/>
    <w:basedOn w:val="Normale"/>
    <w:next w:val="Normale"/>
    <w:link w:val="CitazioneintensaCarattere"/>
    <w:uiPriority w:val="99"/>
    <w:semiHidden/>
    <w:qFormat/>
    <w:rsid w:val="00F96526"/>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F96526"/>
    <w:rPr>
      <w:rFonts w:eastAsiaTheme="minorEastAsia"/>
      <w:b/>
      <w:bCs/>
      <w:i/>
      <w:iCs/>
      <w:lang w:bidi="en-US"/>
    </w:rPr>
  </w:style>
  <w:style w:type="character" w:styleId="Riferimentointenso">
    <w:name w:val="Intense Reference"/>
    <w:uiPriority w:val="99"/>
    <w:semiHidden/>
    <w:qFormat/>
    <w:rsid w:val="00F96526"/>
    <w:rPr>
      <w:smallCaps/>
      <w:spacing w:val="5"/>
      <w:u w:val="single"/>
    </w:rPr>
  </w:style>
  <w:style w:type="paragraph" w:styleId="Paragrafoelenco">
    <w:name w:val="List Paragraph"/>
    <w:basedOn w:val="Normale"/>
    <w:uiPriority w:val="99"/>
    <w:semiHidden/>
    <w:qFormat/>
    <w:rsid w:val="00F96526"/>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F96526"/>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F96526"/>
    <w:rPr>
      <w:rFonts w:eastAsiaTheme="minorEastAsia"/>
      <w:i/>
      <w:iCs/>
      <w:lang w:bidi="en-US"/>
    </w:rPr>
  </w:style>
  <w:style w:type="character" w:styleId="Riferimentodelicato">
    <w:name w:val="Subtle Reference"/>
    <w:uiPriority w:val="99"/>
    <w:semiHidden/>
    <w:qFormat/>
    <w:rsid w:val="00F96526"/>
    <w:rPr>
      <w:smallCaps/>
    </w:rPr>
  </w:style>
  <w:style w:type="table" w:styleId="Grigliatabella">
    <w:name w:val="Table Grid"/>
    <w:basedOn w:val="Tabellanormale"/>
    <w:uiPriority w:val="59"/>
    <w:semiHidden/>
    <w:rsid w:val="00F9652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F96526"/>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F96526"/>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F96526"/>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F96526"/>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F96526"/>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F96526"/>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F96526"/>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F96526"/>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F9652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F96526"/>
    <w:pPr>
      <w:tabs>
        <w:tab w:val="center" w:pos="851"/>
        <w:tab w:val="center" w:pos="6407"/>
      </w:tabs>
      <w:spacing w:before="720"/>
      <w:jc w:val="left"/>
    </w:pPr>
  </w:style>
  <w:style w:type="paragraph" w:customStyle="1" w:styleId="JuParaLast">
    <w:name w:val="Ju_Para_Last"/>
    <w:basedOn w:val="Normale"/>
    <w:next w:val="ECHRPara"/>
    <w:uiPriority w:val="30"/>
    <w:qFormat/>
    <w:rsid w:val="00F96526"/>
    <w:pPr>
      <w:keepNext/>
      <w:keepLines/>
      <w:spacing w:before="240"/>
      <w:ind w:firstLine="284"/>
    </w:pPr>
  </w:style>
  <w:style w:type="paragraph" w:customStyle="1" w:styleId="JuCase">
    <w:name w:val="Ju_Case"/>
    <w:basedOn w:val="Normale"/>
    <w:next w:val="ECHRPara"/>
    <w:uiPriority w:val="10"/>
    <w:rsid w:val="00F96526"/>
    <w:pPr>
      <w:ind w:firstLine="284"/>
    </w:pPr>
    <w:rPr>
      <w:b/>
    </w:rPr>
  </w:style>
  <w:style w:type="paragraph" w:customStyle="1" w:styleId="JuList">
    <w:name w:val="Ju_List"/>
    <w:basedOn w:val="Normale"/>
    <w:uiPriority w:val="28"/>
    <w:qFormat/>
    <w:rsid w:val="00F96526"/>
    <w:pPr>
      <w:ind w:left="340" w:hanging="340"/>
    </w:pPr>
  </w:style>
  <w:style w:type="paragraph" w:customStyle="1" w:styleId="JuTitle">
    <w:name w:val="Ju_Title"/>
    <w:basedOn w:val="Normale"/>
    <w:next w:val="ECHRPara"/>
    <w:uiPriority w:val="3"/>
    <w:semiHidden/>
    <w:qFormat/>
    <w:rsid w:val="00F96526"/>
    <w:pPr>
      <w:spacing w:before="720" w:after="240"/>
      <w:jc w:val="center"/>
      <w:outlineLvl w:val="0"/>
    </w:pPr>
    <w:rPr>
      <w:rFonts w:asciiTheme="majorHAnsi" w:hAnsiTheme="majorHAnsi"/>
      <w:b/>
      <w:caps/>
    </w:rPr>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F96526"/>
    <w:pPr>
      <w:ind w:left="346" w:firstLine="0"/>
    </w:pPr>
  </w:style>
  <w:style w:type="paragraph" w:customStyle="1" w:styleId="JuListi">
    <w:name w:val="Ju_List_i"/>
    <w:basedOn w:val="Normale"/>
    <w:next w:val="JuLista"/>
    <w:uiPriority w:val="28"/>
    <w:qFormat/>
    <w:rsid w:val="00F96526"/>
    <w:pPr>
      <w:ind w:left="794"/>
    </w:pPr>
  </w:style>
  <w:style w:type="character" w:styleId="Rimandocommento">
    <w:name w:val="annotation reference"/>
    <w:semiHidden/>
    <w:rsid w:val="00E77CB3"/>
    <w:rPr>
      <w:sz w:val="16"/>
    </w:rPr>
  </w:style>
  <w:style w:type="paragraph" w:styleId="Testocommento">
    <w:name w:val="annotation text"/>
    <w:basedOn w:val="Normale"/>
    <w:link w:val="TestocommentoCarattere"/>
    <w:semiHidden/>
    <w:rsid w:val="00E77CB3"/>
    <w:rPr>
      <w:sz w:val="20"/>
    </w:rPr>
  </w:style>
  <w:style w:type="character" w:customStyle="1" w:styleId="TestocommentoCarattere">
    <w:name w:val="Testo commento Carattere"/>
    <w:basedOn w:val="Carpredefinitoparagrafo"/>
    <w:link w:val="Testocommento"/>
    <w:semiHidden/>
    <w:rsid w:val="00E77CB3"/>
    <w:rPr>
      <w:rFonts w:eastAsiaTheme="minorEastAsia"/>
      <w:sz w:val="20"/>
    </w:rPr>
  </w:style>
  <w:style w:type="character" w:styleId="Rimandonotadichiusura">
    <w:name w:val="endnote reference"/>
    <w:uiPriority w:val="99"/>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H1">
    <w:name w:val="Opi_H_1"/>
    <w:basedOn w:val="ECHRHeading2"/>
    <w:uiPriority w:val="42"/>
    <w:qFormat/>
    <w:rsid w:val="00F96526"/>
    <w:pPr>
      <w:ind w:left="635" w:hanging="357"/>
      <w:outlineLvl w:val="2"/>
    </w:p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OpiHa">
    <w:name w:val="Opi_H_a"/>
    <w:basedOn w:val="ECHRHeading3"/>
    <w:uiPriority w:val="43"/>
    <w:qFormat/>
    <w:rsid w:val="00F96526"/>
    <w:pPr>
      <w:ind w:left="833" w:hanging="357"/>
      <w:outlineLvl w:val="3"/>
    </w:pPr>
    <w:rPr>
      <w:b/>
      <w:i w:val="0"/>
      <w:sz w:val="20"/>
    </w:rPr>
  </w:style>
  <w:style w:type="paragraph" w:styleId="Sottotitolo">
    <w:name w:val="Subtitle"/>
    <w:basedOn w:val="Normale"/>
    <w:next w:val="Normale"/>
    <w:link w:val="SottotitoloCarattere"/>
    <w:uiPriority w:val="99"/>
    <w:semiHidden/>
    <w:qFormat/>
    <w:rsid w:val="00F96526"/>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F96526"/>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F96526"/>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F96526"/>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F96526"/>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OpiHA0">
    <w:name w:val="Opi_H_A"/>
    <w:basedOn w:val="ECHRHeading1"/>
    <w:next w:val="OpiPara"/>
    <w:uiPriority w:val="41"/>
    <w:qFormat/>
    <w:rsid w:val="00F96526"/>
    <w:pPr>
      <w:tabs>
        <w:tab w:val="clear" w:pos="357"/>
      </w:tabs>
      <w:outlineLvl w:val="1"/>
    </w:pPr>
    <w:rPr>
      <w:b/>
    </w:rPr>
  </w:style>
  <w:style w:type="paragraph" w:customStyle="1" w:styleId="OpiHi">
    <w:name w:val="Opi_H_i"/>
    <w:basedOn w:val="ECHRHeading4"/>
    <w:uiPriority w:val="44"/>
    <w:qFormat/>
    <w:rsid w:val="00F96526"/>
    <w:pPr>
      <w:ind w:left="1037" w:hanging="357"/>
      <w:outlineLvl w:val="4"/>
    </w:pPr>
    <w:rPr>
      <w:b w:val="0"/>
      <w:i/>
    </w:rPr>
  </w:style>
  <w:style w:type="paragraph" w:customStyle="1" w:styleId="OpiPara">
    <w:name w:val="Opi_Para"/>
    <w:basedOn w:val="ECHRPara"/>
    <w:uiPriority w:val="46"/>
    <w:qFormat/>
    <w:rsid w:val="00F96526"/>
  </w:style>
  <w:style w:type="paragraph" w:customStyle="1" w:styleId="OpiParaSub">
    <w:name w:val="Opi_Para_Sub"/>
    <w:basedOn w:val="JuParaSub"/>
    <w:uiPriority w:val="47"/>
    <w:qFormat/>
    <w:rsid w:val="00F96526"/>
  </w:style>
  <w:style w:type="paragraph" w:customStyle="1" w:styleId="OpiQuot">
    <w:name w:val="Opi_Quot"/>
    <w:basedOn w:val="ECHRParaQuote"/>
    <w:uiPriority w:val="48"/>
    <w:qFormat/>
    <w:rsid w:val="00F96526"/>
  </w:style>
  <w:style w:type="paragraph" w:customStyle="1" w:styleId="OpiQuotSub">
    <w:name w:val="Opi_Quot_Sub"/>
    <w:basedOn w:val="JuQuotSub"/>
    <w:uiPriority w:val="49"/>
    <w:qFormat/>
    <w:rsid w:val="00F96526"/>
  </w:style>
  <w:style w:type="paragraph" w:customStyle="1" w:styleId="OpiTranslation">
    <w:name w:val="Opi_Translation"/>
    <w:basedOn w:val="Normale"/>
    <w:next w:val="OpiPara"/>
    <w:uiPriority w:val="40"/>
    <w:qFormat/>
    <w:rsid w:val="00F96526"/>
    <w:pPr>
      <w:jc w:val="center"/>
      <w:outlineLvl w:val="0"/>
    </w:pPr>
    <w:rPr>
      <w:i/>
    </w:rPr>
  </w:style>
  <w:style w:type="paragraph" w:customStyle="1" w:styleId="ECHRSpacer">
    <w:name w:val="ECHR_Spacer"/>
    <w:basedOn w:val="Normale"/>
    <w:uiPriority w:val="45"/>
    <w:rsid w:val="00AA755B"/>
    <w:pPr>
      <w:jc w:val="left"/>
    </w:pPr>
    <w:rPr>
      <w:rFonts w:eastAsiaTheme="minorHAnsi"/>
      <w:sz w:val="4"/>
    </w:rPr>
  </w:style>
  <w:style w:type="character" w:customStyle="1" w:styleId="ECHRParaChar">
    <w:name w:val="ECHR_Para Char"/>
    <w:aliases w:val="Ju_Para Char"/>
    <w:link w:val="ECHRPara"/>
    <w:uiPriority w:val="12"/>
    <w:rsid w:val="005F347E"/>
    <w:rPr>
      <w:rFonts w:eastAsiaTheme="minorEastAsia"/>
      <w:sz w:val="24"/>
    </w:rPr>
  </w:style>
  <w:style w:type="character" w:customStyle="1" w:styleId="JuHIRomanChar">
    <w:name w:val="Ju_H_I_Roman Char"/>
    <w:basedOn w:val="Carpredefinitoparagrafo"/>
    <w:link w:val="ECHRHeading1"/>
    <w:uiPriority w:val="19"/>
    <w:rsid w:val="00044F36"/>
    <w:rPr>
      <w:rFonts w:asciiTheme="majorHAnsi" w:eastAsiaTheme="majorEastAsia" w:hAnsiTheme="majorHAnsi" w:cstheme="majorBidi"/>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061562">
      <w:bodyDiv w:val="1"/>
      <w:marLeft w:val="0"/>
      <w:marRight w:val="0"/>
      <w:marTop w:val="0"/>
      <w:marBottom w:val="0"/>
      <w:divBdr>
        <w:top w:val="none" w:sz="0" w:space="0" w:color="auto"/>
        <w:left w:val="none" w:sz="0" w:space="0" w:color="auto"/>
        <w:bottom w:val="none" w:sz="0" w:space="0" w:color="auto"/>
        <w:right w:val="none" w:sz="0" w:space="0" w:color="auto"/>
      </w:divBdr>
    </w:div>
    <w:div w:id="1476265408">
      <w:bodyDiv w:val="1"/>
      <w:marLeft w:val="0"/>
      <w:marRight w:val="0"/>
      <w:marTop w:val="0"/>
      <w:marBottom w:val="0"/>
      <w:divBdr>
        <w:top w:val="none" w:sz="0" w:space="0" w:color="auto"/>
        <w:left w:val="none" w:sz="0" w:space="0" w:color="auto"/>
        <w:bottom w:val="none" w:sz="0" w:space="0" w:color="auto"/>
        <w:right w:val="none" w:sz="0" w:space="0" w:color="auto"/>
      </w:divBdr>
      <w:divsChild>
        <w:div w:id="3242905">
          <w:marLeft w:val="0"/>
          <w:marRight w:val="0"/>
          <w:marTop w:val="0"/>
          <w:marBottom w:val="0"/>
          <w:divBdr>
            <w:top w:val="none" w:sz="0" w:space="0" w:color="auto"/>
            <w:left w:val="none" w:sz="0" w:space="0" w:color="auto"/>
            <w:bottom w:val="none" w:sz="0" w:space="0" w:color="auto"/>
            <w:right w:val="none" w:sz="0" w:space="0" w:color="auto"/>
          </w:divBdr>
          <w:divsChild>
            <w:div w:id="1634866064">
              <w:marLeft w:val="0"/>
              <w:marRight w:val="0"/>
              <w:marTop w:val="0"/>
              <w:marBottom w:val="0"/>
              <w:divBdr>
                <w:top w:val="none" w:sz="0" w:space="0" w:color="auto"/>
                <w:left w:val="none" w:sz="0" w:space="0" w:color="auto"/>
                <w:bottom w:val="none" w:sz="0" w:space="0" w:color="auto"/>
                <w:right w:val="none" w:sz="0" w:space="0" w:color="auto"/>
              </w:divBdr>
              <w:divsChild>
                <w:div w:id="1032730500">
                  <w:marLeft w:val="0"/>
                  <w:marRight w:val="0"/>
                  <w:marTop w:val="0"/>
                  <w:marBottom w:val="0"/>
                  <w:divBdr>
                    <w:top w:val="none" w:sz="0" w:space="0" w:color="auto"/>
                    <w:left w:val="none" w:sz="0" w:space="0" w:color="auto"/>
                    <w:bottom w:val="none" w:sz="0" w:space="0" w:color="auto"/>
                    <w:right w:val="none" w:sz="0" w:space="0" w:color="auto"/>
                  </w:divBdr>
                  <w:divsChild>
                    <w:div w:id="34933142">
                      <w:marLeft w:val="0"/>
                      <w:marRight w:val="0"/>
                      <w:marTop w:val="0"/>
                      <w:marBottom w:val="0"/>
                      <w:divBdr>
                        <w:top w:val="none" w:sz="0" w:space="0" w:color="auto"/>
                        <w:left w:val="none" w:sz="0" w:space="0" w:color="auto"/>
                        <w:bottom w:val="none" w:sz="0" w:space="0" w:color="auto"/>
                        <w:right w:val="none" w:sz="0" w:space="0" w:color="auto"/>
                      </w:divBdr>
                      <w:divsChild>
                        <w:div w:id="1826625334">
                          <w:marLeft w:val="0"/>
                          <w:marRight w:val="0"/>
                          <w:marTop w:val="0"/>
                          <w:marBottom w:val="0"/>
                          <w:divBdr>
                            <w:top w:val="none" w:sz="0" w:space="0" w:color="auto"/>
                            <w:left w:val="none" w:sz="0" w:space="0" w:color="auto"/>
                            <w:bottom w:val="none" w:sz="0" w:space="0" w:color="auto"/>
                            <w:right w:val="none" w:sz="0" w:space="0" w:color="auto"/>
                          </w:divBdr>
                          <w:divsChild>
                            <w:div w:id="17704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A128A-0791-4E4D-8F7D-2D0EDEC4A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4E549F-AB5F-4211-9A74-A9A6153BEA65}">
  <ds:schemaRefs>
    <ds:schemaRef ds:uri="http://schemas.microsoft.com/sharepoint/v3/contenttype/forms"/>
  </ds:schemaRefs>
</ds:datastoreItem>
</file>

<file path=customXml/itemProps3.xml><?xml version="1.0" encoding="utf-8"?>
<ds:datastoreItem xmlns:ds="http://schemas.openxmlformats.org/officeDocument/2006/customXml" ds:itemID="{C7B3DA6D-E740-446B-A2C6-72F8CAAC70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E326BB-5D6A-46B1-8DD5-FB02B36E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6586</Words>
  <Characters>37541</Characters>
  <Application>Microsoft Office Word</Application>
  <DocSecurity>0</DocSecurity>
  <Lines>312</Lines>
  <Paragraphs>88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2017-09-18T14:15:00Z</dcterms:created>
  <dcterms:modified xsi:type="dcterms:W3CDTF">2017-09-18T14:15:00Z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17739/09</vt:lpwstr>
  </property>
  <property fmtid="{D5CDD505-2E9C-101B-9397-08002B2CF9AE}" pid="4" name="CASEID">
    <vt:lpwstr>563951</vt:lpwstr>
  </property>
  <property fmtid="{D5CDD505-2E9C-101B-9397-08002B2CF9AE}" pid="5" name="ContentTypeId">
    <vt:lpwstr>0x010100558EB02BDB9E204AB350EDD385B68E10</vt:lpwstr>
  </property>
</Properties>
</file>